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2024026</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就业质量调查评价、毕业生培养质量调查评价、用人单位调查评价项目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2024年3月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皖南医学院就业质量调查评价、毕业生培养质量中期调查评价、用人单位调查评价项目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皖南医学院就业质量调查评价、毕业生培养质量中期调查评价、用人单位调查评价项目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2024026</w:t>
      </w:r>
      <w:r>
        <w:rPr>
          <w:rFonts w:ascii="仿宋_GB2312" w:eastAsia="仿宋_GB2312" w:cs="宋体"/>
          <w:sz w:val="24"/>
          <w:szCs w:val="24"/>
        </w:rPr>
        <w:t>;</w:t>
      </w:r>
    </w:p>
    <w:p>
      <w:pPr>
        <w:pStyle w:val="45"/>
        <w:autoSpaceDN w:val="0"/>
        <w:spacing w:line="360" w:lineRule="auto"/>
        <w:ind w:firstLine="480" w:firstLineChars="200"/>
        <w:rPr>
          <w:rFonts w:hint="eastAsia" w:ascii="仿宋_GB2312" w:hAnsi="宋体" w:eastAsia="仿宋_GB2312" w:cs="宋体"/>
          <w:kern w:val="0"/>
          <w:sz w:val="24"/>
          <w:szCs w:val="24"/>
        </w:rPr>
      </w:pPr>
      <w:r>
        <w:rPr>
          <w:rFonts w:ascii="仿宋_GB2312" w:hAnsi="宋体" w:eastAsia="仿宋_GB2312" w:cs="宋体"/>
          <w:kern w:val="0"/>
          <w:sz w:val="24"/>
          <w:szCs w:val="24"/>
        </w:rPr>
        <w:t>（三）项目内</w:t>
      </w:r>
      <w:r>
        <w:rPr>
          <w:rFonts w:ascii="仿宋_GB2312" w:hAnsi="宋体" w:eastAsia="仿宋_GB2312" w:cs="宋体"/>
          <w:kern w:val="0"/>
          <w:sz w:val="24"/>
          <w:szCs w:val="24"/>
          <w:lang w:val="en-US" w:eastAsia="zh-CN" w:bidi="ar-SA"/>
        </w:rPr>
        <w:t>容：</w:t>
      </w:r>
      <w:r>
        <w:rPr>
          <w:rFonts w:hint="eastAsia" w:ascii="仿宋_GB2312" w:hAnsi="宋体" w:eastAsia="仿宋_GB2312" w:cs="宋体"/>
          <w:kern w:val="0"/>
          <w:sz w:val="24"/>
          <w:szCs w:val="24"/>
          <w:lang w:val="en-US" w:eastAsia="zh-CN" w:bidi="ar-SA"/>
        </w:rPr>
        <w:t>包含2024届毕业生就业质量调查评价（含应届毕业生培养质量调查评价）、2019届毕业生培养质量中期调查评价（毕业5年）、用人单位调查评价，详见</w:t>
      </w:r>
      <w:r>
        <w:rPr>
          <w:rFonts w:ascii="仿宋_GB2312" w:hAnsi="宋体" w:eastAsia="仿宋_GB2312" w:cs="宋体"/>
          <w:kern w:val="0"/>
          <w:sz w:val="24"/>
          <w:szCs w:val="24"/>
          <w:lang w:val="en-US" w:eastAsia="zh-CN" w:bidi="ar-SA"/>
        </w:rPr>
        <w:t>磋商</w:t>
      </w:r>
      <w:r>
        <w:rPr>
          <w:rFonts w:ascii="仿宋_GB2312" w:hAnsi="宋体" w:eastAsia="仿宋_GB2312" w:cs="宋体"/>
          <w:kern w:val="0"/>
          <w:sz w:val="24"/>
          <w:szCs w:val="24"/>
        </w:rPr>
        <w:t>文件。</w:t>
      </w:r>
    </w:p>
    <w:p>
      <w:pPr>
        <w:ind w:firstLine="480" w:firstLineChars="200"/>
        <w:rPr>
          <w:sz w:val="21"/>
        </w:rPr>
      </w:pPr>
      <w:r>
        <w:rPr>
          <w:rFonts w:ascii="仿宋_GB2312" w:hAnsi="宋体" w:eastAsia="仿宋_GB2312" w:cs="宋体"/>
          <w:kern w:val="0"/>
          <w:sz w:val="24"/>
          <w:szCs w:val="24"/>
        </w:rPr>
        <w:t>（四）项目预算：</w:t>
      </w:r>
      <w:r>
        <w:rPr>
          <w:rFonts w:hint="eastAsia" w:ascii="仿宋_GB2312" w:hAnsi="宋体" w:eastAsia="仿宋_GB2312" w:cs="宋体"/>
          <w:kern w:val="0"/>
          <w:sz w:val="24"/>
          <w:szCs w:val="24"/>
          <w:lang w:val="en-US" w:eastAsia="zh-CN"/>
        </w:rPr>
        <w:t>12万</w:t>
      </w:r>
      <w:r>
        <w:rPr>
          <w:rFonts w:hint="eastAsia" w:ascii="仿宋_GB2312" w:hAnsi="宋体" w:eastAsia="仿宋_GB2312" w:cs="宋体"/>
          <w:kern w:val="0"/>
          <w:sz w:val="24"/>
          <w:szCs w:val="24"/>
        </w:rPr>
        <w:t>元 。</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b/>
          <w:bCs/>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rPr>
        <w:t>时间：</w:t>
      </w:r>
      <w:r>
        <w:rPr>
          <w:rFonts w:hint="eastAsia" w:ascii="仿宋_GB2312" w:eastAsia="仿宋_GB2312" w:cs="宋体"/>
          <w:kern w:val="0"/>
          <w:sz w:val="24"/>
          <w:szCs w:val="24"/>
          <w:lang w:val="en-US" w:eastAsia="zh-CN" w:bidi="ar-SA"/>
        </w:rPr>
        <w:t>2024年3月20</w:t>
      </w:r>
      <w:r>
        <w:rPr>
          <w:rFonts w:hint="eastAsia" w:ascii="仿宋_GB2312" w:hAnsi="宋体" w:eastAsia="仿宋_GB2312" w:cs="宋体"/>
          <w:kern w:val="0"/>
          <w:sz w:val="24"/>
          <w:szCs w:val="24"/>
          <w:lang w:val="en-US" w:eastAsia="zh-CN" w:bidi="ar-SA"/>
        </w:rPr>
        <w:t>日-</w:t>
      </w:r>
      <w:r>
        <w:rPr>
          <w:rFonts w:hint="eastAsia" w:ascii="仿宋_GB2312" w:eastAsia="仿宋_GB2312" w:cs="宋体"/>
          <w:kern w:val="0"/>
          <w:sz w:val="24"/>
          <w:szCs w:val="24"/>
          <w:lang w:val="en-US" w:eastAsia="zh-CN" w:bidi="ar-SA"/>
        </w:rPr>
        <w:t>2024年3月</w:t>
      </w:r>
      <w:r>
        <w:rPr>
          <w:rFonts w:hint="eastAsia" w:ascii="仿宋_GB2312" w:hAnsi="宋体" w:eastAsia="仿宋_GB2312" w:cs="宋体"/>
          <w:kern w:val="0"/>
          <w:sz w:val="24"/>
          <w:szCs w:val="24"/>
          <w:lang w:val="en-US" w:eastAsia="zh-CN" w:bidi="ar-SA"/>
        </w:rPr>
        <w:t>2</w:t>
      </w:r>
      <w:r>
        <w:rPr>
          <w:rFonts w:hint="eastAsia" w:ascii="仿宋_GB2312" w:eastAsia="仿宋_GB2312" w:cs="宋体"/>
          <w:kern w:val="0"/>
          <w:sz w:val="24"/>
          <w:szCs w:val="24"/>
          <w:lang w:val="en-US" w:eastAsia="zh-CN" w:bidi="ar-SA"/>
        </w:rPr>
        <w:t>8</w:t>
      </w:r>
      <w:r>
        <w:rPr>
          <w:rFonts w:hint="eastAsia" w:ascii="仿宋_GB2312" w:hAnsi="宋体" w:eastAsia="仿宋_GB2312" w:cs="宋体"/>
          <w:kern w:val="0"/>
          <w:sz w:val="24"/>
          <w:szCs w:val="24"/>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皖南医学院就业质量调查评价、毕业生培养质量中期调查评价、用人单位调查评价项目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2024026</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（一）响应文件递交截止时间：</w:t>
      </w: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4</w:t>
      </w:r>
      <w:r>
        <w:rPr>
          <w:rFonts w:hint="eastAsia" w:ascii="仿宋_GB2312" w:eastAsia="仿宋_GB2312" w:cs="宋体"/>
          <w:sz w:val="24"/>
          <w:szCs w:val="24"/>
        </w:rPr>
        <w:t>月</w:t>
      </w:r>
      <w:r>
        <w:rPr>
          <w:rFonts w:hint="eastAsia" w:ascii="仿宋_GB2312" w:eastAsia="仿宋_GB2312" w:cs="宋体"/>
          <w:sz w:val="24"/>
          <w:szCs w:val="24"/>
          <w:lang w:val="en-US" w:eastAsia="zh-CN"/>
        </w:rPr>
        <w:t>2</w:t>
      </w:r>
      <w:r>
        <w:rPr>
          <w:rFonts w:ascii="仿宋_GB2312" w:eastAsia="仿宋_GB2312" w:cs="宋体"/>
          <w:sz w:val="24"/>
          <w:szCs w:val="24"/>
        </w:rPr>
        <w:t>日</w:t>
      </w:r>
      <w:r>
        <w:rPr>
          <w:rFonts w:hint="eastAsia" w:ascii="仿宋_GB2312" w:eastAsia="仿宋_GB2312" w:cs="宋体"/>
          <w:sz w:val="24"/>
          <w:szCs w:val="24"/>
          <w:lang w:eastAsia="zh-CN"/>
        </w:rPr>
        <w:t>上午</w:t>
      </w:r>
      <w:r>
        <w:rPr>
          <w:rFonts w:hint="eastAsia" w:ascii="仿宋_GB2312" w:eastAsia="仿宋_GB2312" w:cs="宋体"/>
          <w:sz w:val="24"/>
          <w:szCs w:val="24"/>
          <w:lang w:val="en-US" w:eastAsia="zh-CN"/>
        </w:rPr>
        <w:t>9</w:t>
      </w:r>
      <w:r>
        <w:rPr>
          <w:rFonts w:hint="eastAsia" w:ascii="仿宋_GB2312" w:eastAsia="仿宋_GB2312" w:cs="宋体"/>
          <w:sz w:val="24"/>
          <w:szCs w:val="24"/>
        </w:rPr>
        <w:t>：</w:t>
      </w:r>
      <w:r>
        <w:rPr>
          <w:rFonts w:hint="eastAsia" w:ascii="仿宋_GB2312" w:eastAsia="仿宋_GB2312" w:cs="宋体"/>
          <w:sz w:val="24"/>
          <w:szCs w:val="24"/>
          <w:lang w:val="en-US" w:eastAsia="zh-CN"/>
        </w:rPr>
        <w:t>00</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（二）响应文件开启时间：</w:t>
      </w: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4</w:t>
      </w:r>
      <w:r>
        <w:rPr>
          <w:rFonts w:hint="eastAsia" w:ascii="仿宋_GB2312" w:eastAsia="仿宋_GB2312" w:cs="宋体"/>
          <w:sz w:val="24"/>
          <w:szCs w:val="24"/>
        </w:rPr>
        <w:t>月</w:t>
      </w:r>
      <w:r>
        <w:rPr>
          <w:rFonts w:hint="eastAsia" w:ascii="仿宋_GB2312" w:eastAsia="仿宋_GB2312" w:cs="宋体"/>
          <w:sz w:val="24"/>
          <w:szCs w:val="24"/>
          <w:lang w:val="en-US" w:eastAsia="zh-CN"/>
        </w:rPr>
        <w:t>2</w:t>
      </w:r>
      <w:r>
        <w:rPr>
          <w:rFonts w:ascii="仿宋_GB2312" w:eastAsia="仿宋_GB2312" w:cs="宋体"/>
          <w:sz w:val="24"/>
          <w:szCs w:val="24"/>
        </w:rPr>
        <w:t>日</w:t>
      </w:r>
      <w:r>
        <w:rPr>
          <w:rFonts w:hint="eastAsia" w:ascii="仿宋_GB2312" w:eastAsia="仿宋_GB2312" w:cs="宋体"/>
          <w:sz w:val="24"/>
          <w:szCs w:val="24"/>
          <w:lang w:eastAsia="zh-CN"/>
        </w:rPr>
        <w:t>上午</w:t>
      </w:r>
      <w:r>
        <w:rPr>
          <w:rFonts w:hint="eastAsia" w:ascii="仿宋_GB2312" w:eastAsia="仿宋_GB2312" w:cs="宋体"/>
          <w:sz w:val="24"/>
          <w:szCs w:val="24"/>
          <w:lang w:val="en-US" w:eastAsia="zh-CN"/>
        </w:rPr>
        <w:t>9</w:t>
      </w:r>
      <w:r>
        <w:rPr>
          <w:rFonts w:hint="eastAsia" w:ascii="仿宋_GB2312" w:eastAsia="仿宋_GB2312" w:cs="宋体"/>
          <w:sz w:val="24"/>
          <w:szCs w:val="24"/>
        </w:rPr>
        <w:t>：</w:t>
      </w:r>
      <w:r>
        <w:rPr>
          <w:rFonts w:hint="eastAsia" w:ascii="仿宋_GB2312" w:eastAsia="仿宋_GB2312" w:cs="宋体"/>
          <w:sz w:val="24"/>
          <w:szCs w:val="24"/>
          <w:lang w:val="en-US" w:eastAsia="zh-CN"/>
        </w:rPr>
        <w:t>0</w:t>
      </w:r>
      <w:r>
        <w:rPr>
          <w:rFonts w:hint="eastAsia" w:ascii="仿宋_GB2312" w:eastAsia="仿宋_GB2312" w:cs="宋体"/>
          <w:sz w:val="24"/>
          <w:szCs w:val="24"/>
        </w:rPr>
        <w:t>0</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lang w:eastAsia="zh-CN"/>
        </w:rPr>
        <w:t>按</w:t>
      </w:r>
      <w:r>
        <w:rPr>
          <w:rFonts w:hint="eastAsia" w:ascii="仿宋_GB2312" w:eastAsia="仿宋_GB2312" w:cs="宋体"/>
          <w:sz w:val="24"/>
          <w:szCs w:val="24"/>
        </w:rPr>
        <w:t>学校要求，校外人员进校需进行入校申请（扫二维码）。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4</w:t>
      </w:r>
      <w:r>
        <w:rPr>
          <w:rFonts w:hint="eastAsia" w:ascii="仿宋_GB2312" w:eastAsia="仿宋_GB2312" w:cs="宋体"/>
          <w:sz w:val="24"/>
          <w:szCs w:val="24"/>
        </w:rPr>
        <w:t>月</w:t>
      </w:r>
      <w:r>
        <w:rPr>
          <w:rFonts w:hint="eastAsia" w:ascii="仿宋_GB2312" w:eastAsia="仿宋_GB2312" w:cs="宋体"/>
          <w:sz w:val="24"/>
          <w:szCs w:val="24"/>
          <w:lang w:val="en-US" w:eastAsia="zh-CN"/>
        </w:rPr>
        <w:t>1</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2024年3月</w:t>
      </w:r>
      <w:r>
        <w:rPr>
          <w:rFonts w:hint="eastAsia" w:ascii="仿宋_GB2312" w:eastAsia="仿宋_GB2312" w:cs="宋体"/>
          <w:sz w:val="24"/>
          <w:szCs w:val="24"/>
          <w:lang w:val="en-US" w:eastAsia="zh-CN"/>
        </w:rPr>
        <w:t>20</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皖南医学院就业质量调查评价、毕业生培养质量中期调查评价、用人单位调查评价项目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6"/>
              <w:ind w:firstLine="0" w:firstLineChars="0"/>
              <w:rPr>
                <w:rFonts w:hint="eastAsia" w:eastAsia="宋体"/>
                <w:lang w:eastAsia="zh-CN"/>
              </w:rPr>
            </w:pPr>
            <w:r>
              <w:rPr>
                <w:rFonts w:hint="eastAsia"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ascii="宋体" w:hAnsi="宋体" w:cs="宋体"/>
                <w:kern w:val="0"/>
                <w:sz w:val="21"/>
                <w:szCs w:val="21"/>
              </w:rPr>
            </w:pPr>
            <w:r>
              <w:rPr>
                <w:rFonts w:hint="eastAsia"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120614214"/>
      <w:bookmarkStart w:id="5" w:name="_Toc20823275"/>
      <w:bookmarkStart w:id="6" w:name="_Toc513029203"/>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16938521"/>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16938522"/>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20823281"/>
      <w:bookmarkStart w:id="24" w:name="_Toc120614215"/>
      <w:bookmarkStart w:id="25" w:name="_Toc403987206"/>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20823283"/>
      <w:bookmarkStart w:id="32" w:name="_Toc513029211"/>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513029213"/>
      <w:bookmarkStart w:id="36" w:name="_Toc20823285"/>
      <w:bookmarkStart w:id="37" w:name="_Toc403987207"/>
      <w:bookmarkStart w:id="38" w:name="_Toc462564072"/>
      <w:bookmarkStart w:id="39" w:name="_Toc16938529"/>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16938530"/>
      <w:bookmarkStart w:id="43" w:name="_Toc513029214"/>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16938531"/>
      <w:bookmarkStart w:id="46" w:name="_Toc20823287"/>
      <w:bookmarkStart w:id="47" w:name="_Toc513029215"/>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14577354"/>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2"/>
      <w:bookmarkEnd w:id="63"/>
      <w:bookmarkStart w:id="64" w:name="_Hlt26670486"/>
      <w:bookmarkEnd w:id="64"/>
      <w:bookmarkStart w:id="65" w:name="_Hlt26954848"/>
      <w:bookmarkEnd w:id="65"/>
      <w:bookmarkStart w:id="66" w:name="_Hlt26954846"/>
      <w:bookmarkEnd w:id="66"/>
      <w:bookmarkStart w:id="67" w:name="_Hlt26954731"/>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20823296"/>
      <w:bookmarkStart w:id="75" w:name="_Toc120614217"/>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16938548"/>
      <w:bookmarkStart w:id="88" w:name="_Toc513029232"/>
      <w:bookmarkStart w:id="89" w:name="_Toc20823304"/>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一、项目概况</w:t>
      </w:r>
    </w:p>
    <w:p>
      <w:pPr>
        <w:spacing w:line="560" w:lineRule="exact"/>
        <w:ind w:firstLine="640" w:firstLineChars="200"/>
        <w:jc w:val="left"/>
        <w:rPr>
          <w:rFonts w:ascii="仿宋_GB2312" w:hAnsi="黑体" w:eastAsia="仿宋_GB2312"/>
          <w:sz w:val="32"/>
          <w:szCs w:val="32"/>
          <w:u w:val="single"/>
        </w:rPr>
      </w:pPr>
      <w:r>
        <w:rPr>
          <w:rFonts w:hint="eastAsia" w:ascii="仿宋_GB2312" w:hAnsi="黑体" w:eastAsia="仿宋_GB2312"/>
          <w:sz w:val="32"/>
          <w:szCs w:val="32"/>
          <w:u w:val="single"/>
        </w:rPr>
        <w:t xml:space="preserve"> </w:t>
      </w:r>
      <w:r>
        <w:rPr>
          <w:rFonts w:hint="eastAsia" w:ascii="仿宋_GB2312" w:hAnsi="仿宋_GB2312" w:eastAsia="仿宋_GB2312" w:cs="仿宋_GB2312"/>
          <w:sz w:val="32"/>
          <w:szCs w:val="32"/>
          <w:u w:val="single"/>
          <w:lang w:val="en-US" w:eastAsia="zh-CN"/>
        </w:rPr>
        <w:t>2024届毕业生就业质量调查评价（含应届毕业生培养质量调查评价）、2019届毕业生培养质量中期调查评价（毕业5年）、用人单位调查评价</w:t>
      </w:r>
      <w:r>
        <w:rPr>
          <w:rFonts w:hint="eastAsia" w:ascii="仿宋_GB2312" w:hAnsi="黑体" w:eastAsia="仿宋_GB2312"/>
          <w:sz w:val="32"/>
          <w:szCs w:val="32"/>
          <w:u w:val="single"/>
        </w:rPr>
        <w:t xml:space="preserve"> </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二、技术商务要求</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（1）技术要求</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届毕业生就业质量调查评价应包括但不限于以下方面：</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学校概况、报告说明、总述</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毕业生就业基本情况（毕业生规模和结构，毕业去向落实率、毕业去向分布、未就业情况分析，就业流向、就业地区分布、行业分布、职业分布、用人单位分布、毕业生升学情况、毕业生创业情况）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学校就业创业工作举措及成效（就业工作机制、职业规划与就业指导、创业教育与创业指导、校企合作与实习实训、招聘服务与就业市场建设、就业帮扶与推介）</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就业质量相关分析（薪酬水平、就业现状满意度、专业相关度、职业期待吻合度），用人单位对毕业生的评价（用人单位对毕业生的满意度、对毕业生就业能力的评价）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就业发展趋势分析（近三年规模和毕业去向落实率的变化趋势、毕业去向的变化趋势、薪酬的变化趋势、就业地区的变化趋势、就业行业的变化趋势、就业单位的变化趋势）</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人才培养反馈（培养过程评价，毕业生对课程设置合理性、核心课程有效度、课堂教学、实践教学、校外实习实践、教师教学、教学条件、管理服务、就业创业工作等方面的评价；培养效果评价，毕业要求达成情况，学生对毕业要求达成情况的自我评价，毕业生能力素质的自我评价；母校综合评价，对母校的满意度、推荐度，对自身大学期间学习和成长的满意度；对人才培养、教育教学、招生和专业设置、就业创业指导服务工作的反馈、改进措施）。</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届毕业生培养质量中期评价调查报告内容应包括但不限于以下方面：</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总述（主要结果、主要结论、改进建议），（2）毕业生就业与发展（毕业去向落实率、毕业去向分布、未就业情况分析，就业流向、就业地区分布、行业分布、职业分布、用人单位分布；就业竞争力，薪酬水平、就业现状满意度、专业相关度、职业期待吻合度、职业社会认可度；自主创业情况、创业率、创业行业、创业规模、对创业帮助最大的在校经历），（3）职业发展（离职情况、离职率、离职原因、行业转换率、职业转换率、职位晋升情况、职业发展历程的满意度、职业发展历程不满意的原因），（4）人才培养反馈（培养过程评价，毕业生对课程设置合理性、核心课程有效度、课堂教学、实践教学、校外实习实践、教师教学、教学条件、管理服务、就业创业工作等方面的评价；培养效果评价，对毕业5年后培养目标达成的自我评价，毕业生的专业水平自评，对自身专业知识水平、专业技能水平、可迁移能力水平的认可度，毕业生的职业能力水平自评，对自身学习能力、执行力、解决问题能力、创新能力、团队协作能力等的认可度；培养目标评价，培养目标的了解度、培养目标的社会适应度；母校综合评价，毕业生对母校的满意度、关注度、回馈度，对母校、专业的推荐度，对自身大学期间学习和成长的满意度；对人才培养、教育教学、招生和专业设置工作的反馈、改进措施）。</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3.用人单位评价调查报告内容应包括但不限于以下方面：</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总述（主要结论、改进建议），（2）对毕业生的评价（对毕业生的总体满意度，对毕业生能力素质评价，政治思想与道德品质、工作态度、专业水平、职业能力、职业发展潜力、工作岗位匹配度、综合素质等的评价，对毕业生职业能力和职业素养的需求情况），（3）对学校的评价（对学校人才培养、教育教学、就业指导与服务工作等的评价及对学校相关工作的建议反馈）。</w:t>
      </w: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投标机构需对以上各项目采购内容进行扩展、细化、分层次，提供以上各项目完整的报告大纲，在项目投标解决方案中予以体现。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供应商需根据采购内容需求，提供详细的、双方认可的调研大纲和调查内容；供应商需根据调研要求，提供详细的组织实施方案及调研人员能力资质信息等；调查结束后，供应商需提供原始调研数据（电子版和纸质版）</w:t>
      </w:r>
      <w:r>
        <w:rPr>
          <w:rFonts w:hint="eastAsia" w:ascii="仿宋_GB2312" w:hAnsi="仿宋" w:eastAsia="仿宋_GB2312"/>
          <w:sz w:val="32"/>
          <w:szCs w:val="32"/>
          <w:lang w:eastAsia="zh-CN"/>
        </w:rPr>
        <w:t>；形成对学校人才培养、促进高质量</w:t>
      </w:r>
      <w:r>
        <w:rPr>
          <w:rFonts w:hint="eastAsia" w:ascii="仿宋_GB2312" w:hAnsi="仿宋" w:eastAsia="仿宋_GB2312"/>
          <w:sz w:val="32"/>
          <w:szCs w:val="32"/>
          <w:lang w:val="en-US" w:eastAsia="zh-CN"/>
        </w:rPr>
        <w:t>充分</w:t>
      </w:r>
      <w:r>
        <w:rPr>
          <w:rFonts w:hint="eastAsia" w:ascii="仿宋_GB2312" w:hAnsi="仿宋" w:eastAsia="仿宋_GB2312"/>
          <w:sz w:val="32"/>
          <w:szCs w:val="32"/>
          <w:lang w:eastAsia="zh-CN"/>
        </w:rPr>
        <w:t>就业合理的分析和建议</w:t>
      </w:r>
      <w:r>
        <w:rPr>
          <w:rFonts w:hint="eastAsia" w:ascii="仿宋_GB2312" w:hAnsi="仿宋" w:eastAsia="仿宋_GB2312"/>
          <w:sz w:val="32"/>
          <w:szCs w:val="32"/>
        </w:rPr>
        <w:t>。</w:t>
      </w:r>
      <w:r>
        <w:rPr>
          <w:rFonts w:hint="eastAsia" w:ascii="仿宋_GB2312" w:hAnsi="仿宋_GB2312" w:eastAsia="仿宋_GB2312" w:cs="仿宋_GB2312"/>
          <w:sz w:val="32"/>
          <w:szCs w:val="32"/>
          <w:lang w:eastAsia="zh-CN"/>
        </w:rPr>
        <w:t>每届</w:t>
      </w:r>
      <w:r>
        <w:rPr>
          <w:rFonts w:hint="eastAsia" w:ascii="仿宋_GB2312" w:hAnsi="仿宋_GB2312" w:eastAsia="仿宋_GB2312" w:cs="仿宋_GB2312"/>
          <w:sz w:val="32"/>
          <w:szCs w:val="32"/>
          <w:lang w:val="en-US" w:eastAsia="zh-CN"/>
        </w:rPr>
        <w:t>每个专业</w:t>
      </w:r>
      <w:r>
        <w:rPr>
          <w:rFonts w:hint="eastAsia" w:ascii="仿宋_GB2312" w:hAnsi="仿宋_GB2312" w:eastAsia="仿宋_GB2312" w:cs="仿宋_GB2312"/>
          <w:sz w:val="32"/>
          <w:szCs w:val="32"/>
          <w:lang w:eastAsia="zh-CN"/>
        </w:rPr>
        <w:t>毕业生调查样本量达到毕业生总数的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0%以上，用人单位评价报告调查样本量达到</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lang w:eastAsia="zh-CN"/>
        </w:rPr>
        <w:t>家用人单位以上</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供应商提供</w:t>
      </w:r>
      <w:r>
        <w:rPr>
          <w:rFonts w:hint="eastAsia" w:ascii="仿宋_GB2312" w:hAnsi="仿宋" w:eastAsia="仿宋_GB2312" w:cs="Times New Roman"/>
          <w:sz w:val="32"/>
          <w:szCs w:val="32"/>
          <w:lang w:val="en-US" w:eastAsia="zh-CN"/>
        </w:rPr>
        <w:t>以上</w:t>
      </w:r>
      <w:r>
        <w:rPr>
          <w:rFonts w:hint="eastAsia" w:ascii="仿宋_GB2312" w:hAnsi="仿宋" w:eastAsia="仿宋_GB2312" w:cs="Times New Roman"/>
          <w:sz w:val="32"/>
          <w:szCs w:val="32"/>
        </w:rPr>
        <w:t>报告纸质精装版</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0本</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提供WORD和PDF版本各1份。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项目报告完成时间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7"/>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报告名称</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皖南医学院202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届毕业生就业质量报告</w:t>
            </w:r>
          </w:p>
        </w:tc>
        <w:tc>
          <w:tcPr>
            <w:tcW w:w="19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val="en-US" w:eastAsia="zh-CN"/>
              </w:rPr>
              <w:t>24</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 xml:space="preserve"> 30</w:t>
            </w:r>
            <w:r>
              <w:rPr>
                <w:rFonts w:hint="eastAsia" w:ascii="仿宋_GB2312" w:hAnsi="仿宋_GB2312" w:eastAsia="仿宋_GB2312" w:cs="仿宋_GB2312"/>
                <w:sz w:val="30"/>
                <w:szCs w:val="30"/>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皖南医学院用人单位评价报告</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6617"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皖南医学院201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eastAsia="zh-CN"/>
              </w:rPr>
              <w:t>届毕业生培养质量中期评价</w:t>
            </w:r>
            <w:r>
              <w:rPr>
                <w:rFonts w:hint="eastAsia" w:ascii="仿宋_GB2312" w:hAnsi="仿宋_GB2312" w:eastAsia="仿宋_GB2312" w:cs="仿宋_GB2312"/>
                <w:sz w:val="30"/>
                <w:szCs w:val="30"/>
              </w:rPr>
              <w:t>报告</w:t>
            </w:r>
          </w:p>
        </w:tc>
        <w:tc>
          <w:tcPr>
            <w:tcW w:w="19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0"/>
                <w:szCs w:val="30"/>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w:t>
      </w:r>
      <w:r>
        <w:rPr>
          <w:rFonts w:hint="eastAsia" w:ascii="宋体" w:hAnsi="宋体" w:cs="宋体"/>
          <w:sz w:val="24"/>
          <w:szCs w:val="24"/>
          <w:lang w:val="en-US" w:eastAsia="zh-CN"/>
        </w:rPr>
        <w:t>2024026</w:t>
      </w:r>
      <w:r>
        <w:rPr>
          <w:rFonts w:hint="eastAsia" w:ascii="宋体" w:hAnsi="宋体" w:eastAsia="宋体" w:cs="宋体"/>
          <w:sz w:val="24"/>
          <w:szCs w:val="24"/>
          <w:lang w:val="en-US" w:eastAsia="zh-CN"/>
        </w:rPr>
        <w:t>-1</w:t>
      </w:r>
    </w:p>
    <w:p>
      <w:pPr>
        <w:pStyle w:val="26"/>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1、成立验收小组，</w:t>
      </w:r>
      <w:r>
        <w:rPr>
          <w:rFonts w:hint="eastAsia" w:ascii="仿宋" w:hAnsi="仿宋" w:eastAsia="仿宋" w:cs="仿宋"/>
          <w:sz w:val="28"/>
          <w:szCs w:val="28"/>
        </w:rPr>
        <w:t>验收人员应由买方代表和技术专家组成</w:t>
      </w:r>
      <w:r>
        <w:rPr>
          <w:rFonts w:hint="eastAsia" w:ascii="仿宋" w:hAnsi="仿宋" w:eastAsia="仿宋" w:cs="仿宋"/>
          <w:kern w:val="0"/>
          <w:sz w:val="28"/>
          <w:szCs w:val="28"/>
        </w:rPr>
        <w:t>。</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Style w:val="2"/>
        <w:pageBreakBefore w:val="0"/>
        <w:kinsoku/>
        <w:wordWrap/>
        <w:overflowPunct/>
        <w:topLinePunct w:val="0"/>
        <w:autoSpaceDE/>
        <w:autoSpaceDN/>
        <w:bidi w:val="0"/>
        <w:spacing w:line="360" w:lineRule="auto"/>
        <w:ind w:left="0" w:leftChars="0"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验收合格后，一次性付清全款。</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5"/>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6"/>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snapToGrid w:val="0"/>
        <w:spacing w:before="0" w:after="0"/>
        <w:ind w:left="0" w:firstLine="0"/>
        <w:jc w:val="center"/>
        <w:rPr>
          <w:rFonts w:ascii="楷体" w:hAnsi="楷体" w:eastAsia="楷体"/>
          <w:szCs w:val="28"/>
        </w:rPr>
      </w:pPr>
      <w:bookmarkStart w:id="109" w:name="_Toc49763004"/>
      <w:r>
        <w:rPr>
          <w:rFonts w:hint="eastAsia" w:ascii="华文中宋" w:hAnsi="华文中宋" w:eastAsia="华文中宋"/>
          <w:color w:val="auto"/>
        </w:rPr>
        <w:t>第六章  评分办法和评分细则</w:t>
      </w:r>
      <w:bookmarkEnd w:id="109"/>
    </w:p>
    <w:p>
      <w:pPr>
        <w:rPr>
          <w:rFonts w:ascii="Times New Roman" w:hAnsi="Times New Roman" w:eastAsia="宋体"/>
          <w:sz w:val="24"/>
          <w:szCs w:val="24"/>
        </w:rPr>
      </w:pPr>
      <w:bookmarkStart w:id="110" w:name="_Toc49763005"/>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评标项目</w:t>
            </w:r>
          </w:p>
        </w:tc>
        <w:tc>
          <w:tcPr>
            <w:tcW w:w="1826"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评标分值</w:t>
            </w:r>
          </w:p>
        </w:tc>
        <w:tc>
          <w:tcPr>
            <w:tcW w:w="4870" w:type="dxa"/>
            <w:noWrap w:val="0"/>
            <w:vAlign w:val="center"/>
          </w:tcPr>
          <w:p>
            <w:pPr>
              <w:spacing w:line="520" w:lineRule="exact"/>
              <w:jc w:val="center"/>
              <w:rPr>
                <w:rFonts w:hint="eastAsia"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价格分</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28分</w:t>
            </w:r>
          </w:p>
        </w:tc>
        <w:tc>
          <w:tcPr>
            <w:tcW w:w="4870" w:type="dxa"/>
            <w:noWrap w:val="0"/>
            <w:vAlign w:val="center"/>
          </w:tcPr>
          <w:p>
            <w:pPr>
              <w:jc w:val="left"/>
              <w:rPr>
                <w:rFonts w:ascii="仿宋" w:hAnsi="仿宋" w:eastAsia="仿宋"/>
                <w:sz w:val="32"/>
                <w:szCs w:val="32"/>
              </w:rPr>
            </w:pPr>
            <w:r>
              <w:rPr>
                <w:rFonts w:hint="eastAsia" w:ascii="等线" w:hAnsi="等线" w:eastAsia="等线" w:cs="等线"/>
                <w:vertAlign w:val="baseline"/>
                <w:lang w:val="en-US" w:eastAsia="zh-CN"/>
              </w:rPr>
              <w:t>满足采购文件要求且报价最低的为评标（审）基准价，其价格分为满分。其他供应商的价格分统一按照下列公式算：报价得分=（基准价/供应商报价）*28分。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供应商业绩</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6分</w:t>
            </w:r>
          </w:p>
        </w:tc>
        <w:tc>
          <w:tcPr>
            <w:tcW w:w="4870" w:type="dxa"/>
            <w:noWrap w:val="0"/>
            <w:vAlign w:val="center"/>
          </w:tcPr>
          <w:p>
            <w:p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1.项目业绩：供应商具有类似调研项目合作业绩的，每提供一项得3分，满分6分。</w:t>
            </w:r>
          </w:p>
          <w:p>
            <w:p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类似项目是指：合同内容至少应包含有“满意度评价调查”或“师生调查”或“就业质量分析”或“用人单位评价”或“在校生培养质量”或“审核评估”内容。</w:t>
            </w:r>
          </w:p>
          <w:p>
            <w:pPr>
              <w:jc w:val="left"/>
              <w:rPr>
                <w:rFonts w:hint="eastAsia" w:ascii="等线" w:hAnsi="等线" w:eastAsia="等线" w:cs="等线"/>
                <w:vertAlign w:val="baseline"/>
                <w:lang w:val="en-US" w:eastAsia="zh-CN"/>
              </w:rPr>
            </w:pPr>
            <w:r>
              <w:rPr>
                <w:rFonts w:hint="eastAsia" w:ascii="等线" w:hAnsi="等线" w:eastAsia="等线" w:cs="等线"/>
                <w:b/>
                <w:bCs/>
                <w:vertAlign w:val="baseline"/>
                <w:lang w:val="en-US" w:eastAsia="zh-CN"/>
              </w:rPr>
              <w:t>评审依据：</w:t>
            </w:r>
            <w:r>
              <w:rPr>
                <w:rFonts w:hint="eastAsia" w:ascii="等线" w:hAnsi="等线" w:eastAsia="等线" w:cs="等线"/>
                <w:vertAlign w:val="baseline"/>
                <w:lang w:val="en-US" w:eastAsia="zh-CN"/>
              </w:rPr>
              <w:t>提供合同复印件（加盖公章），否则不得分，同一所院校不重复计分。</w:t>
            </w:r>
          </w:p>
          <w:p>
            <w:pPr>
              <w:jc w:val="left"/>
              <w:rPr>
                <w:rFonts w:hint="eastAsia" w:ascii="等线" w:hAnsi="等线" w:eastAsia="等线" w:cs="等线"/>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奖项</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6分</w:t>
            </w:r>
          </w:p>
        </w:tc>
        <w:tc>
          <w:tcPr>
            <w:tcW w:w="4870" w:type="dxa"/>
            <w:noWrap w:val="0"/>
            <w:vAlign w:val="center"/>
          </w:tcPr>
          <w:p>
            <w:pPr>
              <w:numPr>
                <w:ilvl w:val="0"/>
                <w:numId w:val="0"/>
              </w:numPr>
              <w:jc w:val="left"/>
              <w:rPr>
                <w:rFonts w:hint="eastAsia" w:ascii="等线" w:hAnsi="等线" w:eastAsia="等线" w:cs="等线"/>
                <w:vertAlign w:val="baseline"/>
                <w:lang w:val="en-US" w:eastAsia="zh-CN"/>
              </w:rPr>
            </w:pPr>
            <w:r>
              <w:rPr>
                <w:rFonts w:hint="eastAsia" w:ascii="等线" w:hAnsi="等线" w:eastAsia="等线" w:cs="等线"/>
                <w:vertAlign w:val="baseline"/>
                <w:lang w:val="en-US" w:eastAsia="zh-CN"/>
              </w:rPr>
              <w:t>1.供应商与教育部或其直属教育部事业单位合作的研究成果或公开出版著作被高等教育领域有权威影响力的网站引用（包括央视新闻联播、中华人民共和国教育部、中国教育电视台、中国教育新闻网、中国教育报、人民网媒体）。每提供一个得3分，满分6分。</w:t>
            </w:r>
          </w:p>
          <w:p>
            <w:pPr>
              <w:numPr>
                <w:ilvl w:val="0"/>
                <w:numId w:val="0"/>
              </w:numPr>
              <w:ind w:left="0" w:leftChars="0" w:firstLine="0" w:firstLineChars="0"/>
              <w:jc w:val="left"/>
              <w:rPr>
                <w:rFonts w:ascii="仿宋" w:hAnsi="仿宋" w:eastAsia="仿宋"/>
                <w:sz w:val="32"/>
                <w:szCs w:val="32"/>
              </w:rPr>
            </w:pPr>
            <w:r>
              <w:rPr>
                <w:rFonts w:hint="eastAsia" w:ascii="等线" w:hAnsi="等线" w:eastAsia="等线" w:cs="等线"/>
                <w:b/>
                <w:bCs/>
                <w:vertAlign w:val="baseline"/>
                <w:lang w:val="en-US" w:eastAsia="zh-CN"/>
              </w:rPr>
              <w:t>评审依据：</w:t>
            </w:r>
            <w:r>
              <w:rPr>
                <w:rFonts w:hint="eastAsia" w:ascii="等线" w:hAnsi="等线" w:eastAsia="等线" w:cs="等线"/>
                <w:vertAlign w:val="baseline"/>
                <w:lang w:val="en-US" w:eastAsia="zh-CN"/>
              </w:rPr>
              <w:t>提供相关网站截图及链接（加盖公章），否则不得分。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总体服务方案</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30分</w:t>
            </w:r>
          </w:p>
        </w:tc>
        <w:tc>
          <w:tcPr>
            <w:tcW w:w="4870" w:type="dxa"/>
            <w:noWrap w:val="0"/>
            <w:vAlign w:val="center"/>
          </w:tcPr>
          <w:p>
            <w:pPr>
              <w:jc w:val="left"/>
              <w:rPr>
                <w:rFonts w:hint="eastAsia" w:ascii="等线" w:hAnsi="等线" w:eastAsia="等线" w:cs="等线"/>
                <w:vertAlign w:val="baseline"/>
              </w:rPr>
            </w:pPr>
            <w:r>
              <w:rPr>
                <w:rFonts w:hint="eastAsia" w:ascii="等线" w:hAnsi="等线" w:eastAsia="等线" w:cs="等线"/>
                <w:vertAlign w:val="baseline"/>
              </w:rPr>
              <w:t>1.实施方案：结合项目实际情况，制订了包括进度计划、组织计划、实施计划、验收等方面工作的整体解决方案</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实施方案内容完整规范、具体可行，服务响应时间快，各项服务内容好，得</w:t>
            </w:r>
            <w:r>
              <w:rPr>
                <w:rFonts w:hint="eastAsia" w:ascii="等线" w:hAnsi="等线" w:eastAsia="等线" w:cs="等线"/>
                <w:vertAlign w:val="baseline"/>
                <w:lang w:val="en-US" w:eastAsia="zh-CN"/>
              </w:rPr>
              <w:t>15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②实施方案内容基本可行，服务响应时间较快，其他各项服务内容一般，得</w:t>
            </w:r>
            <w:r>
              <w:rPr>
                <w:rFonts w:hint="eastAsia" w:ascii="等线" w:hAnsi="等线" w:eastAsia="等线" w:cs="等线"/>
                <w:vertAlign w:val="baseline"/>
                <w:lang w:val="en-US" w:eastAsia="zh-CN"/>
              </w:rPr>
              <w:t>10</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③实施方案内容缺漏，可行性较差，服务响应时间一般，无其他服务内容，得</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提供实施计划（加盖公章），否则不得分。</w:t>
            </w:r>
          </w:p>
          <w:p>
            <w:pPr>
              <w:jc w:val="left"/>
              <w:rPr>
                <w:rFonts w:hint="eastAsia" w:ascii="等线" w:hAnsi="等线" w:eastAsia="等线" w:cs="等线"/>
                <w:vertAlign w:val="baseline"/>
              </w:rPr>
            </w:pPr>
          </w:p>
          <w:p>
            <w:pPr>
              <w:jc w:val="left"/>
              <w:rPr>
                <w:rFonts w:hint="eastAsia" w:ascii="等线" w:hAnsi="等线" w:eastAsia="等线" w:cs="等线"/>
                <w:vertAlign w:val="baseline"/>
                <w:lang w:eastAsia="zh-CN"/>
              </w:rPr>
            </w:pPr>
            <w:r>
              <w:rPr>
                <w:rFonts w:hint="eastAsia" w:ascii="等线" w:hAnsi="等线" w:eastAsia="等线" w:cs="等线"/>
                <w:vertAlign w:val="baseline"/>
              </w:rPr>
              <w:t>2.项目进度查询系统</w:t>
            </w:r>
            <w:r>
              <w:rPr>
                <w:rFonts w:hint="eastAsia" w:ascii="等线" w:hAnsi="等线" w:eastAsia="等线" w:cs="等线"/>
                <w:vertAlign w:val="baseline"/>
                <w:lang w:eastAsia="zh-CN"/>
              </w:rPr>
              <w:t>：</w:t>
            </w:r>
            <w:r>
              <w:rPr>
                <w:rFonts w:hint="eastAsia" w:ascii="等线" w:hAnsi="等线" w:eastAsia="等线" w:cs="等线"/>
                <w:vertAlign w:val="baseline"/>
              </w:rPr>
              <w:t>数据调研与分析项目进行过程中，调研项目过程透明化，能够为采购人提供后台监测系统</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15分</w:t>
            </w:r>
            <w:r>
              <w:rPr>
                <w:rFonts w:hint="eastAsia" w:ascii="等线" w:hAnsi="等线" w:eastAsia="等线" w:cs="等线"/>
                <w:vertAlign w:val="baseline"/>
                <w:lang w:eastAsia="zh-CN"/>
              </w:rPr>
              <w:t>）。</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①查询系统可以查看本校所有合作项目答题情况得</w:t>
            </w:r>
            <w:r>
              <w:rPr>
                <w:rFonts w:hint="eastAsia" w:ascii="等线" w:hAnsi="等线" w:eastAsia="等线" w:cs="等线"/>
                <w:vertAlign w:val="baseline"/>
                <w:lang w:val="en-US" w:eastAsia="zh-CN"/>
              </w:rPr>
              <w:t>10</w:t>
            </w:r>
            <w:r>
              <w:rPr>
                <w:rFonts w:hint="eastAsia" w:ascii="等线" w:hAnsi="等线" w:eastAsia="等线" w:cs="等线"/>
                <w:vertAlign w:val="baseline"/>
                <w:lang w:eastAsia="zh-CN"/>
              </w:rPr>
              <w:t xml:space="preserve">分，不能满足不得分； </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②查询系统可以查看本校所有合作项目的项目进度（需包含项目启动、报告撰写、报告寄送情况等）得</w:t>
            </w:r>
            <w:r>
              <w:rPr>
                <w:rFonts w:hint="eastAsia" w:ascii="等线" w:hAnsi="等线" w:eastAsia="等线" w:cs="等线"/>
                <w:vertAlign w:val="baseline"/>
                <w:lang w:val="en-US" w:eastAsia="zh-CN"/>
              </w:rPr>
              <w:t>5</w:t>
            </w:r>
            <w:r>
              <w:rPr>
                <w:rFonts w:hint="eastAsia" w:ascii="等线" w:hAnsi="等线" w:eastAsia="等线" w:cs="等线"/>
                <w:vertAlign w:val="baseline"/>
                <w:lang w:eastAsia="zh-CN"/>
              </w:rPr>
              <w:t>分，不能满足不得分；</w:t>
            </w:r>
          </w:p>
          <w:p>
            <w:pPr>
              <w:jc w:val="left"/>
              <w:rPr>
                <w:rFonts w:ascii="仿宋" w:hAnsi="仿宋" w:eastAsia="仿宋"/>
                <w:sz w:val="32"/>
                <w:szCs w:val="32"/>
              </w:rPr>
            </w:pPr>
            <w:r>
              <w:rPr>
                <w:rFonts w:hint="eastAsia" w:ascii="等线" w:hAnsi="等线" w:eastAsia="等线" w:cs="等线"/>
                <w:b/>
                <w:bCs/>
                <w:vertAlign w:val="baseline"/>
              </w:rPr>
              <w:t>评审依据：</w:t>
            </w:r>
            <w:r>
              <w:rPr>
                <w:rFonts w:hint="eastAsia" w:ascii="等线" w:hAnsi="等线" w:eastAsia="等线" w:cs="等线"/>
                <w:vertAlign w:val="baseline"/>
              </w:rPr>
              <w:t>提供符合以上要求的功能截图（加盖公章），否则不得分。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质量控制方案</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10分</w:t>
            </w:r>
          </w:p>
        </w:tc>
        <w:tc>
          <w:tcPr>
            <w:tcW w:w="4870" w:type="dxa"/>
            <w:noWrap w:val="0"/>
            <w:vAlign w:val="center"/>
          </w:tcPr>
          <w:p>
            <w:pPr>
              <w:jc w:val="left"/>
              <w:rPr>
                <w:rFonts w:hint="eastAsia" w:ascii="等线" w:hAnsi="等线" w:eastAsia="等线" w:cs="等线"/>
                <w:vertAlign w:val="baseline"/>
              </w:rPr>
            </w:pPr>
            <w:r>
              <w:rPr>
                <w:rFonts w:hint="eastAsia" w:ascii="等线" w:hAnsi="等线" w:eastAsia="等线" w:cs="等线"/>
                <w:vertAlign w:val="baseline"/>
              </w:rPr>
              <w:t>1.技术方案：供应商为技术支持方，负责项目的整体设计、问卷设计、项目实施、统计分析及报告撰写</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方案内容完整、科学严谨、切实可行，得</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lang w:eastAsia="zh-CN"/>
              </w:rPr>
              <w:t>②</w:t>
            </w:r>
            <w:r>
              <w:rPr>
                <w:rFonts w:hint="eastAsia" w:ascii="等线" w:hAnsi="等线" w:eastAsia="等线" w:cs="等线"/>
                <w:vertAlign w:val="baseline"/>
              </w:rPr>
              <w:t>方案内容基本完整、可行，其他内容一般，得</w:t>
            </w:r>
            <w:r>
              <w:rPr>
                <w:rFonts w:hint="eastAsia" w:ascii="等线" w:hAnsi="等线" w:eastAsia="等线" w:cs="等线"/>
                <w:vertAlign w:val="baseline"/>
                <w:lang w:val="en-US" w:eastAsia="zh-CN"/>
              </w:rPr>
              <w:t>3</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vertAlign w:val="baseline"/>
              </w:rPr>
              <w:t>③方案内容缺漏，可行性较差，得</w:t>
            </w:r>
            <w:r>
              <w:rPr>
                <w:rFonts w:hint="eastAsia" w:ascii="等线" w:hAnsi="等线" w:eastAsia="等线" w:cs="等线"/>
                <w:vertAlign w:val="baseline"/>
                <w:lang w:val="en-US" w:eastAsia="zh-CN"/>
              </w:rPr>
              <w:t>1</w:t>
            </w:r>
            <w:r>
              <w:rPr>
                <w:rFonts w:hint="eastAsia" w:ascii="等线" w:hAnsi="等线" w:eastAsia="等线" w:cs="等线"/>
                <w:vertAlign w:val="baseline"/>
              </w:rPr>
              <w:t>分。</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提供技术方案（加盖公章），否则不得分。</w:t>
            </w:r>
          </w:p>
          <w:p>
            <w:pPr>
              <w:jc w:val="left"/>
              <w:rPr>
                <w:rFonts w:hint="eastAsia" w:ascii="等线" w:hAnsi="等线" w:eastAsia="等线" w:cs="等线"/>
                <w:vertAlign w:val="baseline"/>
              </w:rPr>
            </w:pPr>
          </w:p>
          <w:p>
            <w:pPr>
              <w:jc w:val="left"/>
              <w:rPr>
                <w:rFonts w:hint="eastAsia" w:ascii="等线" w:hAnsi="等线" w:eastAsia="等线" w:cs="等线"/>
                <w:vertAlign w:val="baseline"/>
              </w:rPr>
            </w:pPr>
            <w:r>
              <w:rPr>
                <w:rFonts w:hint="eastAsia" w:ascii="等线" w:hAnsi="等线" w:eastAsia="等线" w:cs="等线"/>
                <w:vertAlign w:val="baseline"/>
              </w:rPr>
              <w:t>2.售后质保方案：供应商应有完整的售后服务与质量保障方案,售后服务体系、售后服务内容、响应速度均能满足需求</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default" w:ascii="等线" w:hAnsi="等线" w:eastAsia="等线" w:cs="等线"/>
                <w:vertAlign w:val="baseline"/>
              </w:rPr>
              <w:t>①</w:t>
            </w:r>
            <w:r>
              <w:rPr>
                <w:rFonts w:hint="eastAsia" w:ascii="等线" w:hAnsi="等线" w:eastAsia="等线" w:cs="等线"/>
                <w:vertAlign w:val="baseline"/>
              </w:rPr>
              <w:t>方案设置合理、满足采购人需求，加</w:t>
            </w:r>
            <w:r>
              <w:rPr>
                <w:rFonts w:hint="eastAsia" w:ascii="等线" w:hAnsi="等线" w:eastAsia="等线" w:cs="等线"/>
                <w:vertAlign w:val="baseline"/>
                <w:lang w:val="en-US" w:eastAsia="zh-CN"/>
              </w:rPr>
              <w:t>5</w:t>
            </w:r>
            <w:r>
              <w:rPr>
                <w:rFonts w:hint="eastAsia" w:ascii="等线" w:hAnsi="等线" w:eastAsia="等线" w:cs="等线"/>
                <w:vertAlign w:val="baseline"/>
              </w:rPr>
              <w:t>分；</w:t>
            </w:r>
          </w:p>
          <w:p>
            <w:pPr>
              <w:jc w:val="left"/>
              <w:rPr>
                <w:rFonts w:hint="eastAsia" w:ascii="等线" w:hAnsi="等线" w:eastAsia="等线" w:cs="等线"/>
                <w:vertAlign w:val="baseline"/>
                <w:lang w:val="en-US" w:eastAsia="zh-CN"/>
              </w:rPr>
            </w:pPr>
            <w:r>
              <w:rPr>
                <w:rFonts w:hint="eastAsia" w:ascii="等线" w:hAnsi="等线" w:eastAsia="等线" w:cs="等线"/>
                <w:vertAlign w:val="baseline"/>
                <w:lang w:eastAsia="zh-CN"/>
              </w:rPr>
              <w:t>②</w:t>
            </w:r>
            <w:r>
              <w:rPr>
                <w:rFonts w:hint="eastAsia" w:ascii="等线" w:hAnsi="等线" w:eastAsia="等线" w:cs="等线"/>
                <w:vertAlign w:val="baseline"/>
              </w:rPr>
              <w:t>方案设置一般、基本满足采购人需求，加</w:t>
            </w:r>
            <w:r>
              <w:rPr>
                <w:rFonts w:hint="eastAsia" w:ascii="等线" w:hAnsi="等线" w:eastAsia="等线" w:cs="等线"/>
                <w:vertAlign w:val="baseline"/>
                <w:lang w:val="en-US" w:eastAsia="zh-CN"/>
              </w:rPr>
              <w:t>3</w:t>
            </w:r>
            <w:r>
              <w:rPr>
                <w:rFonts w:hint="eastAsia" w:ascii="等线" w:hAnsi="等线" w:eastAsia="等线" w:cs="等线"/>
                <w:vertAlign w:val="baseline"/>
              </w:rPr>
              <w:t>分</w:t>
            </w:r>
            <w:r>
              <w:rPr>
                <w:rFonts w:hint="eastAsia" w:ascii="等线" w:hAnsi="等线" w:eastAsia="等线" w:cs="等线"/>
                <w:vertAlign w:val="baseline"/>
                <w:lang w:val="en-US" w:eastAsia="zh-CN"/>
              </w:rPr>
              <w:t>;</w:t>
            </w:r>
          </w:p>
          <w:p>
            <w:pPr>
              <w:jc w:val="left"/>
              <w:rPr>
                <w:rFonts w:hint="eastAsia" w:ascii="等线" w:hAnsi="等线" w:eastAsia="等线" w:cs="等线"/>
                <w:vertAlign w:val="baseline"/>
                <w:lang w:val="en-US" w:eastAsia="zh-CN"/>
              </w:rPr>
            </w:pPr>
            <w:r>
              <w:rPr>
                <w:rFonts w:hint="eastAsia" w:ascii="等线" w:hAnsi="等线" w:eastAsia="等线" w:cs="等线"/>
                <w:vertAlign w:val="baseline"/>
              </w:rPr>
              <w:t>③方案设置</w:t>
            </w:r>
            <w:r>
              <w:rPr>
                <w:rFonts w:hint="eastAsia" w:ascii="等线" w:hAnsi="等线" w:eastAsia="等线" w:cs="等线"/>
                <w:vertAlign w:val="baseline"/>
                <w:lang w:val="en-US" w:eastAsia="zh-CN"/>
              </w:rPr>
              <w:t>不合理</w:t>
            </w:r>
            <w:r>
              <w:rPr>
                <w:rFonts w:hint="eastAsia" w:ascii="等线" w:hAnsi="等线" w:eastAsia="等线" w:cs="等线"/>
                <w:vertAlign w:val="baseline"/>
              </w:rPr>
              <w:t>、</w:t>
            </w:r>
            <w:r>
              <w:rPr>
                <w:rFonts w:hint="eastAsia" w:ascii="等线" w:hAnsi="等线" w:eastAsia="等线" w:cs="等线"/>
                <w:vertAlign w:val="baseline"/>
                <w:lang w:val="en-US" w:eastAsia="zh-CN"/>
              </w:rPr>
              <w:t>难以</w:t>
            </w:r>
            <w:r>
              <w:rPr>
                <w:rFonts w:hint="eastAsia" w:ascii="等线" w:hAnsi="等线" w:eastAsia="等线" w:cs="等线"/>
                <w:vertAlign w:val="baseline"/>
              </w:rPr>
              <w:t>满足采购人需求，加</w:t>
            </w:r>
            <w:r>
              <w:rPr>
                <w:rFonts w:hint="eastAsia" w:ascii="等线" w:hAnsi="等线" w:eastAsia="等线" w:cs="等线"/>
                <w:vertAlign w:val="baseline"/>
                <w:lang w:val="en-US" w:eastAsia="zh-CN"/>
              </w:rPr>
              <w:t>1</w:t>
            </w:r>
            <w:r>
              <w:rPr>
                <w:rFonts w:hint="eastAsia" w:ascii="等线" w:hAnsi="等线" w:eastAsia="等线" w:cs="等线"/>
                <w:vertAlign w:val="baseline"/>
              </w:rPr>
              <w:t>分</w:t>
            </w:r>
            <w:r>
              <w:rPr>
                <w:rFonts w:hint="eastAsia" w:ascii="等线" w:hAnsi="等线" w:eastAsia="等线" w:cs="等线"/>
                <w:vertAlign w:val="baseline"/>
                <w:lang w:val="en-US" w:eastAsia="zh-CN"/>
              </w:rPr>
              <w:t>;</w:t>
            </w:r>
          </w:p>
          <w:p>
            <w:pPr>
              <w:jc w:val="left"/>
              <w:rPr>
                <w:rFonts w:ascii="仿宋" w:hAnsi="仿宋" w:eastAsia="仿宋"/>
                <w:sz w:val="32"/>
                <w:szCs w:val="32"/>
              </w:rPr>
            </w:pPr>
            <w:r>
              <w:rPr>
                <w:rFonts w:hint="eastAsia" w:ascii="等线" w:hAnsi="等线" w:eastAsia="等线" w:cs="等线"/>
                <w:b/>
                <w:bCs/>
                <w:vertAlign w:val="baseline"/>
              </w:rPr>
              <w:t>评审依据：</w:t>
            </w:r>
            <w:r>
              <w:rPr>
                <w:rFonts w:hint="eastAsia" w:ascii="等线" w:hAnsi="等线" w:eastAsia="等线" w:cs="等线"/>
                <w:vertAlign w:val="baseline"/>
              </w:rPr>
              <w:t>提供售后服务与质量保障方案（加盖公章），否则不得分。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服务人员配备</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10分</w:t>
            </w:r>
          </w:p>
        </w:tc>
        <w:tc>
          <w:tcPr>
            <w:tcW w:w="4870" w:type="dxa"/>
            <w:noWrap w:val="0"/>
            <w:vAlign w:val="center"/>
          </w:tcPr>
          <w:p>
            <w:pPr>
              <w:jc w:val="left"/>
              <w:rPr>
                <w:rFonts w:hint="eastAsia" w:ascii="等线" w:hAnsi="等线" w:eastAsia="等线" w:cs="等线"/>
                <w:vertAlign w:val="baseline"/>
              </w:rPr>
            </w:pPr>
            <w:r>
              <w:rPr>
                <w:rFonts w:hint="eastAsia" w:ascii="等线" w:hAnsi="等线" w:eastAsia="等线" w:cs="等线"/>
                <w:vertAlign w:val="baseline"/>
                <w:lang w:val="en-US" w:eastAsia="zh-CN"/>
              </w:rPr>
              <w:t>1.</w:t>
            </w:r>
            <w:r>
              <w:rPr>
                <w:rFonts w:hint="eastAsia" w:ascii="等线" w:hAnsi="等线" w:eastAsia="等线" w:cs="等线"/>
                <w:vertAlign w:val="baseline"/>
              </w:rPr>
              <w:t>针对本项目能够提供完善的组织机构、项目人员安排及人员能力情况，提供项目人员安排方案、学历证书（加盖公章）</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10分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lang w:eastAsia="zh-CN"/>
              </w:rPr>
            </w:pPr>
            <w:r>
              <w:rPr>
                <w:rFonts w:hint="default" w:ascii="等线" w:hAnsi="等线" w:eastAsia="等线" w:cs="等线"/>
                <w:vertAlign w:val="baseline"/>
              </w:rPr>
              <w:t>①</w:t>
            </w:r>
            <w:r>
              <w:rPr>
                <w:rFonts w:hint="eastAsia" w:ascii="等线" w:hAnsi="等线" w:eastAsia="等线" w:cs="等线"/>
                <w:vertAlign w:val="baseline"/>
                <w:lang w:eastAsia="zh-CN"/>
              </w:rPr>
              <w:t>为本项目配备项目经理1人，且具有与本项目相类似项目（类似项目</w:t>
            </w:r>
            <w:r>
              <w:rPr>
                <w:rFonts w:hint="eastAsia" w:ascii="等线" w:hAnsi="等线" w:eastAsia="等线" w:cs="等线"/>
                <w:vertAlign w:val="baseline"/>
                <w:lang w:val="en-US" w:eastAsia="zh-CN"/>
              </w:rPr>
              <w:t>同“供应商业绩”表述</w:t>
            </w:r>
            <w:r>
              <w:rPr>
                <w:rFonts w:hint="eastAsia" w:ascii="等线" w:hAnsi="等线" w:eastAsia="等线" w:cs="等线"/>
                <w:vertAlign w:val="baseline"/>
                <w:lang w:eastAsia="zh-CN"/>
              </w:rPr>
              <w:t>）实施经验，得</w:t>
            </w:r>
            <w:r>
              <w:rPr>
                <w:rFonts w:hint="eastAsia" w:ascii="等线" w:hAnsi="等线" w:eastAsia="等线" w:cs="等线"/>
                <w:vertAlign w:val="baseline"/>
                <w:lang w:val="en-US" w:eastAsia="zh-CN"/>
              </w:rPr>
              <w:t>4</w:t>
            </w:r>
            <w:r>
              <w:rPr>
                <w:rFonts w:hint="eastAsia" w:ascii="等线" w:hAnsi="等线" w:eastAsia="等线" w:cs="等线"/>
                <w:vertAlign w:val="baseline"/>
                <w:lang w:eastAsia="zh-CN"/>
              </w:rPr>
              <w:t>分，否则得0分；</w:t>
            </w:r>
          </w:p>
          <w:p>
            <w:pPr>
              <w:jc w:val="left"/>
              <w:rPr>
                <w:rFonts w:hint="eastAsia" w:ascii="等线" w:hAnsi="等线" w:eastAsia="等线" w:cs="等线"/>
                <w:vertAlign w:val="baseline"/>
                <w:lang w:eastAsia="zh-CN"/>
              </w:rPr>
            </w:pPr>
            <w:r>
              <w:rPr>
                <w:rFonts w:hint="eastAsia" w:ascii="等线" w:hAnsi="等线" w:eastAsia="等线" w:cs="等线"/>
                <w:vertAlign w:val="baseline"/>
                <w:lang w:eastAsia="zh-CN"/>
              </w:rPr>
              <w:t>②服务团队成员不少于</w:t>
            </w:r>
            <w:r>
              <w:rPr>
                <w:rFonts w:hint="eastAsia" w:ascii="等线" w:hAnsi="等线" w:eastAsia="等线" w:cs="等线"/>
                <w:vertAlign w:val="baseline"/>
                <w:lang w:val="en-US" w:eastAsia="zh-CN"/>
              </w:rPr>
              <w:t>3</w:t>
            </w:r>
            <w:r>
              <w:rPr>
                <w:rFonts w:hint="eastAsia" w:ascii="等线" w:hAnsi="等线" w:eastAsia="等线" w:cs="等线"/>
                <w:vertAlign w:val="baseline"/>
                <w:lang w:eastAsia="zh-CN"/>
              </w:rPr>
              <w:t>人，其中项目技术人员至少</w:t>
            </w:r>
            <w:r>
              <w:rPr>
                <w:rFonts w:hint="eastAsia" w:ascii="等线" w:hAnsi="等线" w:eastAsia="等线" w:cs="等线"/>
                <w:vertAlign w:val="baseline"/>
                <w:lang w:val="en-US" w:eastAsia="zh-CN"/>
              </w:rPr>
              <w:t>2</w:t>
            </w:r>
            <w:r>
              <w:rPr>
                <w:rFonts w:hint="eastAsia" w:ascii="等线" w:hAnsi="等线" w:eastAsia="等线" w:cs="等线"/>
                <w:vertAlign w:val="baseline"/>
                <w:lang w:eastAsia="zh-CN"/>
              </w:rPr>
              <w:t>人、项目维护人员至少1人，</w:t>
            </w:r>
            <w:r>
              <w:rPr>
                <w:rFonts w:hint="eastAsia" w:ascii="等线" w:hAnsi="等线" w:eastAsia="等线" w:cs="等线"/>
                <w:vertAlign w:val="baseline"/>
                <w:lang w:val="en-US" w:eastAsia="zh-CN"/>
              </w:rPr>
              <w:t>每人2分，最高6分</w:t>
            </w:r>
            <w:r>
              <w:rPr>
                <w:rFonts w:hint="eastAsia" w:ascii="等线" w:hAnsi="等线" w:eastAsia="等线" w:cs="等线"/>
                <w:vertAlign w:val="baseline"/>
                <w:lang w:eastAsia="zh-CN"/>
              </w:rPr>
              <w:t>。</w:t>
            </w:r>
          </w:p>
          <w:p>
            <w:pPr>
              <w:jc w:val="left"/>
              <w:rPr>
                <w:rFonts w:ascii="仿宋" w:hAnsi="仿宋" w:eastAsia="仿宋"/>
                <w:sz w:val="32"/>
                <w:szCs w:val="32"/>
              </w:rPr>
            </w:pPr>
            <w:r>
              <w:rPr>
                <w:rFonts w:hint="eastAsia" w:ascii="等线" w:hAnsi="等线" w:eastAsia="等线" w:cs="等线"/>
                <w:b/>
                <w:bCs/>
                <w:vertAlign w:val="baseline"/>
              </w:rPr>
              <w:t>评审依据：</w:t>
            </w:r>
            <w:r>
              <w:rPr>
                <w:rFonts w:hint="eastAsia" w:ascii="等线" w:hAnsi="等线" w:eastAsia="等线" w:cs="等线"/>
                <w:vertAlign w:val="baseline"/>
              </w:rPr>
              <w:t>提供人员证书及在有效期内的劳动合同复印件（加盖公章），否则不得分。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安全方案</w:t>
            </w:r>
          </w:p>
        </w:tc>
        <w:tc>
          <w:tcPr>
            <w:tcW w:w="1826" w:type="dxa"/>
            <w:noWrap w:val="0"/>
            <w:vAlign w:val="center"/>
          </w:tcPr>
          <w:p>
            <w:pPr>
              <w:jc w:val="center"/>
              <w:rPr>
                <w:rFonts w:ascii="仿宋" w:hAnsi="仿宋" w:eastAsia="仿宋"/>
                <w:sz w:val="32"/>
                <w:szCs w:val="32"/>
              </w:rPr>
            </w:pPr>
            <w:r>
              <w:rPr>
                <w:rFonts w:hint="eastAsia" w:ascii="等线" w:hAnsi="等线" w:eastAsia="等线" w:cs="等线"/>
                <w:vertAlign w:val="baseline"/>
                <w:lang w:val="en-US" w:eastAsia="zh-CN"/>
              </w:rPr>
              <w:t>10分</w:t>
            </w:r>
          </w:p>
        </w:tc>
        <w:tc>
          <w:tcPr>
            <w:tcW w:w="4870" w:type="dxa"/>
            <w:noWrap w:val="0"/>
            <w:vAlign w:val="center"/>
          </w:tcPr>
          <w:p>
            <w:pPr>
              <w:jc w:val="left"/>
              <w:rPr>
                <w:rFonts w:hint="eastAsia" w:ascii="等线" w:hAnsi="等线" w:eastAsia="等线" w:cs="等线"/>
                <w:vertAlign w:val="baseline"/>
              </w:rPr>
            </w:pPr>
            <w:r>
              <w:rPr>
                <w:rFonts w:hint="eastAsia" w:ascii="等线" w:hAnsi="等线" w:eastAsia="等线" w:cs="等线"/>
                <w:vertAlign w:val="baseline"/>
              </w:rPr>
              <w:t>1.供应商具备信息安全管理体系认证证书</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hint="eastAsia" w:ascii="等线" w:hAnsi="等线" w:eastAsia="等线" w:cs="等线"/>
                <w:vertAlign w:val="baseline"/>
              </w:rPr>
            </w:pPr>
            <w:r>
              <w:rPr>
                <w:rFonts w:hint="eastAsia" w:ascii="等线" w:hAnsi="等线" w:eastAsia="等线" w:cs="等线"/>
                <w:b/>
                <w:bCs/>
                <w:vertAlign w:val="baseline"/>
              </w:rPr>
              <w:t>评审依据：</w:t>
            </w:r>
            <w:r>
              <w:rPr>
                <w:rFonts w:hint="eastAsia" w:ascii="等线" w:hAnsi="等线" w:eastAsia="等线" w:cs="等线"/>
                <w:vertAlign w:val="baseline"/>
              </w:rPr>
              <w:t>提供相关证明材料并加盖供应商公章，否则不得分。</w:t>
            </w:r>
          </w:p>
          <w:p>
            <w:pPr>
              <w:jc w:val="left"/>
              <w:rPr>
                <w:rFonts w:hint="eastAsia" w:ascii="等线" w:hAnsi="等线" w:eastAsia="等线" w:cs="等线"/>
                <w:vertAlign w:val="baseline"/>
              </w:rPr>
            </w:pPr>
          </w:p>
          <w:p>
            <w:pPr>
              <w:jc w:val="left"/>
              <w:rPr>
                <w:rFonts w:hint="eastAsia" w:ascii="等线" w:hAnsi="等线" w:eastAsia="等线" w:cs="等线"/>
                <w:vertAlign w:val="baseline"/>
              </w:rPr>
            </w:pPr>
            <w:r>
              <w:rPr>
                <w:rFonts w:hint="eastAsia" w:ascii="等线" w:hAnsi="等线" w:eastAsia="等线" w:cs="等线"/>
                <w:vertAlign w:val="baseline"/>
              </w:rPr>
              <w:t>2.</w:t>
            </w:r>
            <w:r>
              <w:rPr>
                <w:rFonts w:hint="eastAsia" w:ascii="等线" w:hAnsi="等线" w:eastAsia="等线" w:cs="等线"/>
                <w:vertAlign w:val="baseline"/>
                <w:lang w:val="en-US" w:eastAsia="zh-CN"/>
              </w:rPr>
              <w:t>在</w:t>
            </w:r>
            <w:r>
              <w:rPr>
                <w:rFonts w:hint="eastAsia" w:ascii="等线" w:hAnsi="等线" w:eastAsia="等线" w:cs="等线"/>
                <w:vertAlign w:val="baseline"/>
              </w:rPr>
              <w:t>该项目执行过程中，保证学校信息安全、</w:t>
            </w:r>
            <w:r>
              <w:rPr>
                <w:rFonts w:hint="eastAsia" w:ascii="等线" w:hAnsi="等线" w:eastAsia="等线" w:cs="等线"/>
                <w:vertAlign w:val="baseline"/>
                <w:lang w:val="en-US" w:eastAsia="zh-CN"/>
              </w:rPr>
              <w:t>保护</w:t>
            </w:r>
            <w:r>
              <w:rPr>
                <w:rFonts w:hint="eastAsia" w:ascii="等线" w:hAnsi="等线" w:eastAsia="等线" w:cs="等线"/>
                <w:vertAlign w:val="baseline"/>
              </w:rPr>
              <w:t>师生隐私，有信息泄露后的法律承诺</w:t>
            </w:r>
            <w:r>
              <w:rPr>
                <w:rFonts w:hint="eastAsia" w:ascii="等线" w:hAnsi="等线" w:eastAsia="等线" w:cs="等线"/>
                <w:vertAlign w:val="baseline"/>
                <w:lang w:eastAsia="zh-CN"/>
              </w:rPr>
              <w:t>（</w:t>
            </w:r>
            <w:r>
              <w:rPr>
                <w:rFonts w:hint="eastAsia" w:ascii="等线" w:hAnsi="等线" w:eastAsia="等线" w:cs="等线"/>
                <w:vertAlign w:val="baseline"/>
                <w:lang w:val="en-US" w:eastAsia="zh-CN"/>
              </w:rPr>
              <w:t>5分</w:t>
            </w:r>
            <w:r>
              <w:rPr>
                <w:rFonts w:hint="eastAsia" w:ascii="等线" w:hAnsi="等线" w:eastAsia="等线" w:cs="等线"/>
                <w:vertAlign w:val="baseline"/>
                <w:lang w:eastAsia="zh-CN"/>
              </w:rPr>
              <w:t>）</w:t>
            </w:r>
            <w:r>
              <w:rPr>
                <w:rFonts w:hint="eastAsia" w:ascii="等线" w:hAnsi="等线" w:eastAsia="等线" w:cs="等线"/>
                <w:vertAlign w:val="baseline"/>
              </w:rPr>
              <w:t>。</w:t>
            </w:r>
          </w:p>
          <w:p>
            <w:pPr>
              <w:jc w:val="left"/>
              <w:rPr>
                <w:rFonts w:ascii="仿宋" w:hAnsi="仿宋" w:eastAsia="仿宋"/>
                <w:sz w:val="32"/>
                <w:szCs w:val="32"/>
              </w:rPr>
            </w:pPr>
            <w:r>
              <w:rPr>
                <w:rFonts w:hint="eastAsia" w:ascii="等线" w:hAnsi="等线" w:eastAsia="等线" w:cs="等线"/>
                <w:b/>
                <w:bCs/>
                <w:vertAlign w:val="baseline"/>
              </w:rPr>
              <w:t>评审依据：</w:t>
            </w:r>
            <w:r>
              <w:rPr>
                <w:rFonts w:hint="eastAsia" w:ascii="等线" w:hAnsi="等线" w:eastAsia="等线" w:cs="等线"/>
                <w:vertAlign w:val="baseline"/>
              </w:rPr>
              <w:t>供应商自行承诺并提供证明材料和法律承诺（加盖公章），否则不得分。</w:t>
            </w:r>
          </w:p>
        </w:tc>
      </w:tr>
    </w:tbl>
    <w:p>
      <w:pPr>
        <w:ind w:firstLine="480" w:firstLineChars="200"/>
        <w:rPr>
          <w:rFonts w:ascii="Times New Roman" w:hAnsi="Times New Roman" w:eastAsia="宋体"/>
          <w:sz w:val="24"/>
          <w:szCs w:val="24"/>
        </w:rPr>
      </w:pPr>
    </w:p>
    <w:p>
      <w:pPr>
        <w:widowControl/>
        <w:adjustRightInd w:val="0"/>
        <w:snapToGrid w:val="0"/>
        <w:spacing w:line="360" w:lineRule="auto"/>
        <w:ind w:firstLine="562" w:firstLineChars="200"/>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规定各项评审标准的程度，折算为综合得分分值，依据每个投标人的综合得分由高到低，依次确定排名顺序。满分为100分（数值计算结果均保留两位小数，第三位四舍五入）</w:t>
      </w:r>
    </w:p>
    <w:p>
      <w:pPr>
        <w:pStyle w:val="12"/>
        <w:adjustRightInd w:val="0"/>
        <w:snapToGrid w:val="0"/>
        <w:spacing w:line="460" w:lineRule="exact"/>
        <w:ind w:firstLine="560"/>
        <w:rPr>
          <w:rFonts w:ascii="仿宋_GB2312" w:hAnsi="楷体" w:eastAsia="仿宋_GB2312"/>
          <w:spacing w:val="0"/>
          <w:sz w:val="28"/>
          <w:szCs w:val="28"/>
        </w:rPr>
      </w:pPr>
      <w:bookmarkStart w:id="133" w:name="_GoBack"/>
      <w:bookmarkEnd w:id="133"/>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皖南医学院就业质量调查评价、毕业生培养质量中期调查评价、用人单位调查评价项目</w:t>
            </w:r>
          </w:p>
        </w:tc>
        <w:tc>
          <w:tcPr>
            <w:tcW w:w="4454" w:type="dxa"/>
            <w:tcBorders>
              <w:top w:val="single" w:color="auto" w:sz="4" w:space="0"/>
              <w:left w:val="single" w:color="auto" w:sz="4" w:space="0"/>
              <w:right w:val="single" w:color="auto" w:sz="4" w:space="0"/>
            </w:tcBorders>
            <w:vAlign w:val="center"/>
          </w:tcPr>
          <w:p>
            <w:pPr>
              <w:snapToGrid w:val="0"/>
              <w:spacing w:before="50" w:after="50"/>
              <w:jc w:val="left"/>
              <w:rPr>
                <w:rFonts w:ascii="宋体" w:hAnsi="宋体"/>
                <w:spacing w:val="-6"/>
                <w:sz w:val="24"/>
                <w:szCs w:val="24"/>
                <w:u w:val="single"/>
              </w:rPr>
            </w:pPr>
            <w:r>
              <w:rPr>
                <w:rFonts w:hint="eastAsia" w:ascii="宋体" w:hAnsi="宋体"/>
                <w:spacing w:val="-6"/>
                <w:sz w:val="24"/>
                <w:szCs w:val="24"/>
              </w:rPr>
              <w:t>大写：</w:t>
            </w:r>
            <w:r>
              <w:rPr>
                <w:rFonts w:hint="eastAsia" w:ascii="宋体" w:hAnsi="宋体"/>
                <w:spacing w:val="-6"/>
                <w:sz w:val="24"/>
                <w:szCs w:val="24"/>
                <w:u w:val="single"/>
              </w:rPr>
              <w:t xml:space="preserve">                  元 </w:t>
            </w:r>
          </w:p>
          <w:p>
            <w:pPr>
              <w:snapToGrid w:val="0"/>
              <w:spacing w:before="50" w:after="50"/>
              <w:jc w:val="center"/>
              <w:rPr>
                <w:rFonts w:ascii="宋体" w:hAnsi="宋体"/>
                <w:spacing w:val="-6"/>
                <w:sz w:val="24"/>
                <w:szCs w:val="24"/>
              </w:rPr>
            </w:pPr>
          </w:p>
          <w:p>
            <w:pPr>
              <w:snapToGrid w:val="0"/>
              <w:spacing w:before="50" w:after="50"/>
              <w:jc w:val="left"/>
              <w:rPr>
                <w:rFonts w:ascii="宋体" w:hAnsi="宋体"/>
                <w:spacing w:val="-6"/>
                <w:sz w:val="24"/>
                <w:szCs w:val="24"/>
                <w:u w:val="single"/>
              </w:rPr>
            </w:pPr>
            <w:r>
              <w:rPr>
                <w:rFonts w:hint="eastAsia" w:ascii="宋体" w:hAnsi="宋体"/>
                <w:spacing w:val="-6"/>
                <w:sz w:val="24"/>
                <w:szCs w:val="24"/>
              </w:rPr>
              <w:t>小写：</w:t>
            </w:r>
            <w:r>
              <w:rPr>
                <w:rFonts w:hint="eastAsia" w:ascii="宋体" w:hAnsi="宋体"/>
                <w:spacing w:val="-6"/>
                <w:sz w:val="24"/>
                <w:szCs w:val="24"/>
                <w:u w:val="single"/>
              </w:rPr>
              <w:t xml:space="preserve">                  元  </w:t>
            </w:r>
          </w:p>
          <w:p>
            <w:pPr>
              <w:pStyle w:val="26"/>
              <w:ind w:firstLine="0" w:firstLineChars="0"/>
            </w:pPr>
          </w:p>
          <w:p>
            <w:pPr>
              <w:pStyle w:val="26"/>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4878535"/>
      <w:bookmarkStart w:id="118" w:name="_Toc49090582"/>
      <w:bookmarkStart w:id="119" w:name="_Toc26554103"/>
      <w:bookmarkStart w:id="120" w:name="_Toc513029281"/>
      <w:bookmarkStart w:id="121" w:name="_Toc23828483"/>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460901585"/>
      <w:bookmarkStart w:id="126" w:name="_Toc120614283"/>
      <w:bookmarkStart w:id="127" w:name="_Toc22356580"/>
      <w:bookmarkStart w:id="128" w:name="_Toc513029276"/>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投标文件须包含</w:t>
      </w:r>
      <w:r>
        <w:rPr>
          <w:rFonts w:hint="eastAsia"/>
          <w:b/>
          <w:bCs/>
          <w:sz w:val="24"/>
          <w:lang w:val="en-US" w:eastAsia="zh-CN"/>
        </w:rPr>
        <w:t>供应商业绩、奖项、总体服务方案、质量控制方案、服务人员配备、安全方案</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3">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9D2C05"/>
    <w:rsid w:val="0AD639E4"/>
    <w:rsid w:val="0B3435BB"/>
    <w:rsid w:val="0BF978D5"/>
    <w:rsid w:val="0C5D773D"/>
    <w:rsid w:val="0D7754CF"/>
    <w:rsid w:val="0D7E2A6A"/>
    <w:rsid w:val="0DA16FB4"/>
    <w:rsid w:val="0DE65A99"/>
    <w:rsid w:val="0E7E3960"/>
    <w:rsid w:val="0ECE2C8D"/>
    <w:rsid w:val="107556EE"/>
    <w:rsid w:val="10A328AC"/>
    <w:rsid w:val="10CA7A92"/>
    <w:rsid w:val="11097CFF"/>
    <w:rsid w:val="11420EA7"/>
    <w:rsid w:val="11A93BAF"/>
    <w:rsid w:val="12582E7C"/>
    <w:rsid w:val="12A869B3"/>
    <w:rsid w:val="12DB5F87"/>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81D1648"/>
    <w:rsid w:val="28574F87"/>
    <w:rsid w:val="28AF482A"/>
    <w:rsid w:val="291D580A"/>
    <w:rsid w:val="29674BDA"/>
    <w:rsid w:val="29831EC9"/>
    <w:rsid w:val="29913DEF"/>
    <w:rsid w:val="29B44350"/>
    <w:rsid w:val="2ADF5772"/>
    <w:rsid w:val="2B9343A5"/>
    <w:rsid w:val="2C231C3E"/>
    <w:rsid w:val="2C43766C"/>
    <w:rsid w:val="2CF80A72"/>
    <w:rsid w:val="2D140C99"/>
    <w:rsid w:val="2D237126"/>
    <w:rsid w:val="2D31750C"/>
    <w:rsid w:val="2D962D7E"/>
    <w:rsid w:val="2DE634B9"/>
    <w:rsid w:val="2E1D349F"/>
    <w:rsid w:val="2EDF550D"/>
    <w:rsid w:val="2F407445"/>
    <w:rsid w:val="2FF43D8C"/>
    <w:rsid w:val="3025527A"/>
    <w:rsid w:val="30C91186"/>
    <w:rsid w:val="31495EDE"/>
    <w:rsid w:val="31921319"/>
    <w:rsid w:val="31BC6863"/>
    <w:rsid w:val="32EB584D"/>
    <w:rsid w:val="32FA2CBE"/>
    <w:rsid w:val="32FC59EE"/>
    <w:rsid w:val="338B35BF"/>
    <w:rsid w:val="34092461"/>
    <w:rsid w:val="34700F39"/>
    <w:rsid w:val="34EF42C7"/>
    <w:rsid w:val="35EA3087"/>
    <w:rsid w:val="3639699D"/>
    <w:rsid w:val="36607CEC"/>
    <w:rsid w:val="36EF1694"/>
    <w:rsid w:val="388443D5"/>
    <w:rsid w:val="38FB3C73"/>
    <w:rsid w:val="390659FB"/>
    <w:rsid w:val="390D1E7C"/>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4B36A5F"/>
    <w:rsid w:val="44E0509A"/>
    <w:rsid w:val="457774F2"/>
    <w:rsid w:val="45A10401"/>
    <w:rsid w:val="45C94FEF"/>
    <w:rsid w:val="462D2409"/>
    <w:rsid w:val="468E6891"/>
    <w:rsid w:val="47C1249E"/>
    <w:rsid w:val="481B4427"/>
    <w:rsid w:val="481E3C44"/>
    <w:rsid w:val="485756B9"/>
    <w:rsid w:val="48592ECE"/>
    <w:rsid w:val="48835154"/>
    <w:rsid w:val="4939003C"/>
    <w:rsid w:val="4A010EEA"/>
    <w:rsid w:val="4CAC2800"/>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EEE43D3"/>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964ECA"/>
    <w:rsid w:val="699E695C"/>
    <w:rsid w:val="69BF7E12"/>
    <w:rsid w:val="6B792DBC"/>
    <w:rsid w:val="6B9C09D1"/>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4A54B7B"/>
    <w:rsid w:val="751B270C"/>
    <w:rsid w:val="7532635D"/>
    <w:rsid w:val="759D3A0C"/>
    <w:rsid w:val="764364A0"/>
    <w:rsid w:val="768C17FB"/>
    <w:rsid w:val="77722493"/>
    <w:rsid w:val="78216CB5"/>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autoRedefine/>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0</TotalTime>
  <ScaleCrop>false</ScaleCrop>
  <LinksUpToDate>false</LinksUpToDate>
  <CharactersWithSpaces>22553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2024-03-20T08:59:34Z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EC2D55065EE9410B8AC07D03BAF4E20B</vt:lpwstr>
  </property>
</Properties>
</file>