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20220</w:t>
      </w:r>
      <w:r>
        <w:rPr>
          <w:rFonts w:hint="eastAsia" w:eastAsia="仿宋_GB2312"/>
          <w:snapToGrid w:val="0"/>
          <w:sz w:val="30"/>
          <w:lang w:val="en-US" w:eastAsia="zh-CN"/>
        </w:rPr>
        <w:t>86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sz w:val="52"/>
          <w:szCs w:val="52"/>
          <w:lang w:eastAsia="zh-CN"/>
        </w:rPr>
        <w:t>认知神经实验室改造工程项目</w:t>
      </w:r>
      <w:r>
        <w:rPr>
          <w:rFonts w:hint="eastAsia" w:ascii="华文中宋" w:hAnsi="华文中宋" w:eastAsia="华文中宋"/>
          <w:b/>
          <w:bCs/>
          <w:sz w:val="52"/>
          <w:szCs w:val="52"/>
        </w:rPr>
        <w:t xml:space="preserve">      </w:t>
      </w:r>
      <w:r>
        <w:rPr>
          <w:rFonts w:hint="eastAsia" w:ascii="华文中宋" w:hAnsi="华文中宋" w:eastAsia="华文中宋"/>
          <w:b/>
          <w:bCs/>
          <w:w w:val="90"/>
          <w:sz w:val="48"/>
          <w:szCs w:val="48"/>
        </w:rPr>
        <w:t xml:space="preserve">  </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10</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0"/>
          <w:rFonts w:hint="eastAsia"/>
        </w:rPr>
        <w:t>第一章</w:t>
      </w:r>
      <w:r>
        <w:rPr>
          <w:rStyle w:val="30"/>
        </w:rPr>
        <w:t xml:space="preserve">  </w:t>
      </w:r>
      <w:r>
        <w:rPr>
          <w:rStyle w:val="30"/>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0"/>
          <w:rFonts w:hint="eastAsia"/>
        </w:rPr>
        <w:t>第二章</w:t>
      </w:r>
      <w:r>
        <w:rPr>
          <w:rStyle w:val="30"/>
        </w:rPr>
        <w:t xml:space="preserve">  </w:t>
      </w:r>
      <w:r>
        <w:rPr>
          <w:rStyle w:val="30"/>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0"/>
          <w:rFonts w:hint="eastAsia"/>
        </w:rPr>
        <w:t>第三章</w:t>
      </w:r>
      <w:r>
        <w:rPr>
          <w:rStyle w:val="30"/>
        </w:rPr>
        <w:t xml:space="preserve">  </w:t>
      </w:r>
      <w:r>
        <w:rPr>
          <w:rStyle w:val="30"/>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0"/>
          <w:rFonts w:hint="eastAsia"/>
        </w:rPr>
        <w:t>第四章</w:t>
      </w:r>
      <w:r>
        <w:rPr>
          <w:rStyle w:val="30"/>
        </w:rPr>
        <w:t xml:space="preserve">  </w:t>
      </w:r>
      <w:r>
        <w:rPr>
          <w:rStyle w:val="30"/>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0"/>
          <w:rFonts w:hint="eastAsia"/>
        </w:rPr>
        <w:t>第五章</w:t>
      </w:r>
      <w:r>
        <w:rPr>
          <w:rStyle w:val="30"/>
        </w:rPr>
        <w:t xml:space="preserve">  </w:t>
      </w:r>
      <w:r>
        <w:rPr>
          <w:rStyle w:val="30"/>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0"/>
          <w:rFonts w:hint="eastAsia"/>
        </w:rPr>
        <w:t>第六章</w:t>
      </w:r>
      <w:r>
        <w:rPr>
          <w:rStyle w:val="30"/>
        </w:rPr>
        <w:t xml:space="preserve">  </w:t>
      </w:r>
      <w:r>
        <w:rPr>
          <w:rStyle w:val="30"/>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0"/>
          <w:rFonts w:hint="eastAsia"/>
        </w:rPr>
        <w:t>第七章</w:t>
      </w:r>
      <w:r>
        <w:rPr>
          <w:rStyle w:val="30"/>
        </w:rPr>
        <w:t xml:space="preserve">  </w:t>
      </w:r>
      <w:r>
        <w:rPr>
          <w:rStyle w:val="30"/>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认知神经实验室改造工程项目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皖南医学院认知神经实验室改造工程项目</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2022086</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79952.46元。</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1.具有独立法人资格，具有独立承担民事责任的能力。</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2.具有建筑工程施工总承包三级资质或建筑装修装饰工程专业承包二级资质及以上企业。投标单位相关资质须是建设行政主管部门核发的，且经年检合格。</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hAnsi="宋体" w:eastAsia="仿宋_GB2312" w:cs="宋体"/>
          <w:kern w:val="0"/>
          <w:sz w:val="24"/>
          <w:szCs w:val="24"/>
          <w:lang w:val="en-US" w:eastAsia="zh-CN" w:bidi="ar-SA"/>
        </w:rPr>
        <w:t>3.具有良好的商业信誉和优良的售后服务，在近三年的经营活动中没有不良记录。</w:t>
      </w:r>
      <w:r>
        <w:rPr>
          <w:rFonts w:hint="default" w:ascii="仿宋_GB2312" w:eastAsia="仿宋_GB2312" w:cs="宋体"/>
          <w:sz w:val="24"/>
          <w:szCs w:val="24"/>
          <w:lang w:val="en-US" w:eastAsia="zh-CN"/>
        </w:rPr>
        <w:t>三、报名时间及方式：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11</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17</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皖南医学院认知神经实验室改造工程项目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2022086</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4"/>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15</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15</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因学校防控要求，校外人员进校需填写《校外人员入校申请表》（附件）。请各投标单位如实填写，并于2023年2月14日12：00前将</w:t>
      </w:r>
      <w:r>
        <w:rPr>
          <w:rFonts w:hint="eastAsia" w:ascii="仿宋_GB2312" w:eastAsia="仿宋_GB2312" w:cs="宋体"/>
          <w:b/>
          <w:bCs/>
          <w:sz w:val="28"/>
          <w:szCs w:val="28"/>
          <w:highlight w:val="red"/>
          <w:lang w:val="en-US" w:eastAsia="zh-CN"/>
        </w:rPr>
        <w:t>手写签名扫描版</w:t>
      </w:r>
      <w:r>
        <w:rPr>
          <w:rFonts w:hint="eastAsia" w:ascii="仿宋_GB2312" w:eastAsia="仿宋_GB2312" w:cs="宋体"/>
          <w:sz w:val="24"/>
          <w:szCs w:val="24"/>
          <w:lang w:val="en-US" w:eastAsia="zh-CN"/>
        </w:rPr>
        <w:t>传至842807551@qq.com。未按时提交《校外人员入校申请表》的，后果自负。</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4"/>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10</w:t>
      </w:r>
      <w:bookmarkStart w:id="153" w:name="_GoBack"/>
      <w:bookmarkEnd w:id="153"/>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6"/>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华文中宋" w:hAnsi="华文中宋" w:eastAsia="华文中宋"/>
          <w:color w:val="auto"/>
        </w:rPr>
        <w:t>第二章  磋商须知前附表</w:t>
      </w:r>
      <w:bookmarkEnd w:id="1"/>
    </w:p>
    <w:tbl>
      <w:tblPr>
        <w:tblStyle w:val="26"/>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皖南医学院</w:t>
            </w:r>
            <w:r>
              <w:rPr>
                <w:rFonts w:hint="eastAsia" w:ascii="宋体" w:hAnsi="宋体" w:cs="宋体"/>
                <w:kern w:val="0"/>
                <w:sz w:val="21"/>
                <w:szCs w:val="21"/>
                <w:lang w:eastAsia="zh-CN"/>
              </w:rPr>
              <w:t>认知神经实验室改造工程项目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default"/>
                <w:lang w:val="en-US" w:eastAsia="zh-CN"/>
              </w:rPr>
            </w:pPr>
            <w:r>
              <w:rPr>
                <w:rFonts w:hint="eastAsia"/>
                <w:b/>
                <w:bCs/>
                <w:sz w:val="21"/>
                <w:szCs w:val="21"/>
                <w:lang w:val="en-US" w:eastAsia="zh-CN"/>
              </w:rPr>
              <w:t>踏勘联系人：郑老师 ；踏勘时间2022年10月24日14:00；踏勘联系方式：0553-3932410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1600元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20823275"/>
      <w:bookmarkStart w:id="4" w:name="_Toc403987205"/>
      <w:bookmarkStart w:id="5" w:name="_Toc16938519"/>
      <w:bookmarkStart w:id="6" w:name="_Toc120614214"/>
      <w:bookmarkStart w:id="7" w:name="_Toc513029203"/>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513029204"/>
      <w:bookmarkStart w:id="11" w:name="_Toc16938520"/>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38"/>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38"/>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16938521"/>
      <w:bookmarkStart w:id="13" w:name="_Toc513029205"/>
      <w:bookmarkStart w:id="14" w:name="_Toc20823277"/>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38"/>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38"/>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513029206"/>
      <w:bookmarkStart w:id="16" w:name="_Toc20823278"/>
      <w:bookmarkStart w:id="17" w:name="_Toc16938522"/>
      <w:r>
        <w:rPr>
          <w:rFonts w:hint="eastAsia" w:ascii="宋体" w:hAnsi="宋体" w:cs="宋体"/>
          <w:sz w:val="24"/>
          <w:szCs w:val="24"/>
        </w:rPr>
        <w:t>4.适用法律</w:t>
      </w:r>
      <w:bookmarkEnd w:id="15"/>
      <w:bookmarkEnd w:id="16"/>
      <w:bookmarkEnd w:id="17"/>
    </w:p>
    <w:p>
      <w:pPr>
        <w:pStyle w:val="38"/>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513029207"/>
      <w:bookmarkStart w:id="20" w:name="_Toc462564067"/>
      <w:bookmarkStart w:id="21" w:name="_Toc16938523"/>
      <w:r>
        <w:rPr>
          <w:rFonts w:hint="eastAsia" w:ascii="宋体" w:hAnsi="宋体" w:cs="宋体"/>
          <w:sz w:val="24"/>
          <w:szCs w:val="24"/>
        </w:rPr>
        <w:t>5.磋商费用</w:t>
      </w:r>
      <w:bookmarkEnd w:id="18"/>
      <w:bookmarkEnd w:id="19"/>
      <w:bookmarkEnd w:id="20"/>
      <w:bookmarkEnd w:id="21"/>
    </w:p>
    <w:p>
      <w:pPr>
        <w:pStyle w:val="38"/>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38"/>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38"/>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20614215"/>
      <w:bookmarkStart w:id="23" w:name="_Toc16938525"/>
      <w:bookmarkStart w:id="24" w:name="_Toc513029209"/>
      <w:bookmarkStart w:id="25" w:name="_Toc20823281"/>
      <w:bookmarkStart w:id="26" w:name="_Toc403987206"/>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513029210"/>
      <w:bookmarkStart w:id="28" w:name="_Toc20823282"/>
      <w:bookmarkStart w:id="29" w:name="_Toc16938526"/>
      <w:r>
        <w:rPr>
          <w:rFonts w:hint="eastAsia" w:ascii="宋体" w:hAnsi="宋体" w:cs="宋体"/>
          <w:sz w:val="24"/>
          <w:szCs w:val="24"/>
        </w:rPr>
        <w:t>1.磋商文件构成</w:t>
      </w:r>
      <w:bookmarkEnd w:id="27"/>
      <w:bookmarkEnd w:id="28"/>
      <w:bookmarkEnd w:id="29"/>
    </w:p>
    <w:p>
      <w:pPr>
        <w:pStyle w:val="38"/>
        <w:snapToGrid w:val="0"/>
        <w:rPr>
          <w:rFonts w:hint="eastAsia" w:hAnsi="宋体" w:eastAsia="宋体"/>
          <w:sz w:val="24"/>
          <w:szCs w:val="24"/>
        </w:rPr>
      </w:pPr>
      <w:r>
        <w:rPr>
          <w:rFonts w:hint="eastAsia" w:hAnsi="宋体" w:eastAsia="宋体"/>
          <w:sz w:val="24"/>
          <w:szCs w:val="24"/>
        </w:rPr>
        <w:t>磋商文件有以下部分组成：</w:t>
      </w:r>
    </w:p>
    <w:p>
      <w:pPr>
        <w:pStyle w:val="38"/>
        <w:snapToGrid w:val="0"/>
        <w:rPr>
          <w:rFonts w:hint="eastAsia" w:hAnsi="宋体" w:eastAsia="宋体"/>
          <w:sz w:val="24"/>
          <w:szCs w:val="24"/>
        </w:rPr>
      </w:pPr>
      <w:r>
        <w:rPr>
          <w:rFonts w:hint="eastAsia" w:hAnsi="宋体" w:eastAsia="宋体"/>
          <w:sz w:val="24"/>
          <w:szCs w:val="24"/>
        </w:rPr>
        <w:t>（1）磋商公告</w:t>
      </w:r>
    </w:p>
    <w:p>
      <w:pPr>
        <w:pStyle w:val="38"/>
        <w:snapToGrid w:val="0"/>
        <w:rPr>
          <w:rFonts w:hint="eastAsia" w:hAnsi="宋体" w:eastAsia="宋体"/>
          <w:sz w:val="24"/>
          <w:szCs w:val="24"/>
        </w:rPr>
      </w:pPr>
      <w:r>
        <w:rPr>
          <w:rFonts w:hint="eastAsia" w:hAnsi="宋体" w:eastAsia="宋体"/>
          <w:sz w:val="24"/>
          <w:szCs w:val="24"/>
        </w:rPr>
        <w:t>（2）磋商须知前附表</w:t>
      </w:r>
    </w:p>
    <w:p>
      <w:pPr>
        <w:pStyle w:val="38"/>
        <w:snapToGrid w:val="0"/>
        <w:rPr>
          <w:rFonts w:hint="eastAsia" w:hAnsi="宋体" w:eastAsia="宋体"/>
          <w:sz w:val="24"/>
          <w:szCs w:val="24"/>
        </w:rPr>
      </w:pPr>
      <w:r>
        <w:rPr>
          <w:rFonts w:hint="eastAsia" w:hAnsi="宋体" w:eastAsia="宋体"/>
          <w:sz w:val="24"/>
          <w:szCs w:val="24"/>
        </w:rPr>
        <w:t>（3）磋商须知</w:t>
      </w:r>
    </w:p>
    <w:p>
      <w:pPr>
        <w:pStyle w:val="38"/>
        <w:snapToGrid w:val="0"/>
        <w:rPr>
          <w:rFonts w:hint="eastAsia" w:hAnsi="宋体" w:eastAsia="宋体"/>
          <w:sz w:val="24"/>
          <w:szCs w:val="24"/>
        </w:rPr>
      </w:pPr>
      <w:r>
        <w:rPr>
          <w:rFonts w:hint="eastAsia" w:hAnsi="宋体" w:eastAsia="宋体"/>
          <w:sz w:val="24"/>
          <w:szCs w:val="24"/>
        </w:rPr>
        <w:t>（4）合同主要条款</w:t>
      </w:r>
    </w:p>
    <w:p>
      <w:pPr>
        <w:pStyle w:val="38"/>
        <w:snapToGrid w:val="0"/>
        <w:rPr>
          <w:rFonts w:hint="eastAsia" w:hAnsi="宋体" w:eastAsia="宋体"/>
          <w:sz w:val="24"/>
          <w:szCs w:val="24"/>
        </w:rPr>
      </w:pPr>
      <w:r>
        <w:rPr>
          <w:rFonts w:hint="eastAsia" w:hAnsi="宋体" w:eastAsia="宋体"/>
          <w:sz w:val="24"/>
          <w:szCs w:val="24"/>
        </w:rPr>
        <w:t>（5）项目需求</w:t>
      </w:r>
    </w:p>
    <w:p>
      <w:pPr>
        <w:pStyle w:val="38"/>
        <w:snapToGrid w:val="0"/>
        <w:rPr>
          <w:rFonts w:hint="eastAsia" w:hAnsi="宋体" w:eastAsia="宋体"/>
          <w:sz w:val="24"/>
          <w:szCs w:val="24"/>
        </w:rPr>
      </w:pPr>
      <w:r>
        <w:rPr>
          <w:rFonts w:hint="eastAsia" w:hAnsi="宋体" w:eastAsia="宋体"/>
          <w:sz w:val="24"/>
          <w:szCs w:val="24"/>
        </w:rPr>
        <w:t>（6）评审标准</w:t>
      </w:r>
    </w:p>
    <w:p>
      <w:pPr>
        <w:pStyle w:val="38"/>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20823283"/>
      <w:bookmarkStart w:id="31" w:name="_Toc513029211"/>
      <w:bookmarkStart w:id="32" w:name="_Toc16938527"/>
      <w:bookmarkStart w:id="33" w:name="_Toc462564070"/>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38"/>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403987207"/>
      <w:bookmarkStart w:id="35" w:name="_Toc462564072"/>
      <w:bookmarkStart w:id="36" w:name="_Toc120614216"/>
      <w:bookmarkStart w:id="37" w:name="_Toc20823285"/>
      <w:bookmarkStart w:id="38" w:name="_Toc16938529"/>
      <w:bookmarkStart w:id="39" w:name="_Toc513029213"/>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513029214"/>
      <w:bookmarkStart w:id="42" w:name="_Toc20823286"/>
      <w:bookmarkStart w:id="43" w:name="_Toc16938530"/>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38"/>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38"/>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513029215"/>
      <w:bookmarkStart w:id="46" w:name="_Toc20823287"/>
      <w:bookmarkStart w:id="47" w:name="_Toc16938531"/>
      <w:bookmarkStart w:id="48" w:name="_Toc462564074"/>
      <w:r>
        <w:rPr>
          <w:rFonts w:hint="eastAsia" w:ascii="宋体" w:hAnsi="宋体" w:cs="宋体"/>
          <w:sz w:val="24"/>
          <w:szCs w:val="24"/>
        </w:rPr>
        <w:t>4.响应文件构成</w:t>
      </w:r>
      <w:bookmarkEnd w:id="45"/>
      <w:bookmarkEnd w:id="46"/>
      <w:bookmarkEnd w:id="47"/>
      <w:bookmarkEnd w:id="48"/>
    </w:p>
    <w:p>
      <w:pPr>
        <w:pStyle w:val="38"/>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38"/>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68975"/>
      <w:bookmarkEnd w:id="49"/>
      <w:bookmarkStart w:id="50" w:name="_Hlt26954838"/>
      <w:bookmarkEnd w:id="50"/>
      <w:bookmarkStart w:id="51" w:name="_Hlt26670360"/>
      <w:bookmarkEnd w:id="51"/>
      <w:bookmarkStart w:id="52" w:name="_Toc49090509"/>
      <w:bookmarkStart w:id="53" w:name="_Toc513029219"/>
      <w:bookmarkStart w:id="54" w:name="_Toc14577357"/>
      <w:bookmarkStart w:id="55" w:name="_Toc513029216"/>
      <w:bookmarkStart w:id="56" w:name="_Toc49090507"/>
      <w:bookmarkStart w:id="57" w:name="_Toc14577354"/>
      <w:r>
        <w:rPr>
          <w:rFonts w:hint="eastAsia" w:ascii="宋体" w:hAnsi="宋体" w:cs="宋体"/>
          <w:sz w:val="24"/>
          <w:szCs w:val="24"/>
        </w:rPr>
        <w:t>5.证明供应商资格及符合磋商文件规定的文件</w:t>
      </w:r>
      <w:bookmarkEnd w:id="52"/>
      <w:bookmarkEnd w:id="53"/>
      <w:bookmarkEnd w:id="54"/>
    </w:p>
    <w:p>
      <w:pPr>
        <w:pStyle w:val="38"/>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38"/>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38"/>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38"/>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38"/>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38"/>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2"/>
      <w:bookmarkEnd w:id="63"/>
      <w:bookmarkStart w:id="64" w:name="_Hlt26954852"/>
      <w:bookmarkEnd w:id="64"/>
      <w:bookmarkStart w:id="65" w:name="_Hlt26954731"/>
      <w:bookmarkEnd w:id="65"/>
      <w:bookmarkStart w:id="66" w:name="_Hlt26670486"/>
      <w:bookmarkEnd w:id="66"/>
      <w:bookmarkStart w:id="67" w:name="_Hlt26954739"/>
      <w:bookmarkEnd w:id="67"/>
      <w:bookmarkStart w:id="68" w:name="_Hlt26954846"/>
      <w:bookmarkEnd w:id="68"/>
      <w:bookmarkStart w:id="69" w:name="_Hlt26954848"/>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38"/>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38"/>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38"/>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120614217"/>
      <w:bookmarkStart w:id="73" w:name="_Toc20823296"/>
      <w:bookmarkStart w:id="74" w:name="_Toc16938540"/>
      <w:bookmarkStart w:id="75" w:name="_Toc403987208"/>
      <w:bookmarkStart w:id="76" w:name="_Toc513029224"/>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513029225"/>
      <w:bookmarkStart w:id="78" w:name="_Toc16938541"/>
      <w:bookmarkStart w:id="79" w:name="_Toc20823297"/>
      <w:bookmarkStart w:id="80" w:name="_Toc462564084"/>
      <w:r>
        <w:rPr>
          <w:rFonts w:hint="eastAsia" w:ascii="宋体" w:hAnsi="宋体" w:cs="宋体"/>
          <w:sz w:val="24"/>
          <w:szCs w:val="24"/>
        </w:rPr>
        <w:t>1.响应文件的密封和标记</w:t>
      </w:r>
      <w:bookmarkEnd w:id="77"/>
      <w:bookmarkEnd w:id="78"/>
      <w:bookmarkEnd w:id="79"/>
      <w:bookmarkEnd w:id="80"/>
    </w:p>
    <w:p>
      <w:pPr>
        <w:pStyle w:val="38"/>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38"/>
        <w:snapToGrid w:val="0"/>
        <w:rPr>
          <w:rFonts w:hint="eastAsia" w:hAnsi="宋体" w:eastAsia="宋体"/>
          <w:sz w:val="24"/>
          <w:szCs w:val="24"/>
        </w:rPr>
      </w:pPr>
      <w:r>
        <w:rPr>
          <w:rFonts w:hint="eastAsia" w:hAnsi="宋体" w:eastAsia="宋体"/>
          <w:sz w:val="24"/>
          <w:szCs w:val="24"/>
        </w:rPr>
        <w:t>（2）密封的响应文件应：</w:t>
      </w:r>
    </w:p>
    <w:p>
      <w:pPr>
        <w:pStyle w:val="38"/>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38"/>
        <w:snapToGrid w:val="0"/>
        <w:rPr>
          <w:rFonts w:hint="eastAsia" w:hAnsi="宋体" w:eastAsia="宋体"/>
          <w:sz w:val="24"/>
          <w:szCs w:val="24"/>
        </w:rPr>
      </w:pPr>
      <w:r>
        <w:rPr>
          <w:rFonts w:hint="eastAsia" w:hAnsi="宋体" w:eastAsia="宋体"/>
          <w:sz w:val="24"/>
          <w:szCs w:val="24"/>
        </w:rPr>
        <w:t>2）注明磋商项目名称、项目编号。</w:t>
      </w:r>
    </w:p>
    <w:p>
      <w:pPr>
        <w:pStyle w:val="38"/>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20823298"/>
      <w:bookmarkStart w:id="82" w:name="_Toc513029226"/>
      <w:bookmarkStart w:id="83" w:name="_Toc16938542"/>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38"/>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38"/>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38"/>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38"/>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38"/>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513029231"/>
      <w:bookmarkStart w:id="85" w:name="_Toc16938547"/>
      <w:bookmarkStart w:id="86" w:name="_Toc20823303"/>
      <w:r>
        <w:rPr>
          <w:rFonts w:hint="eastAsia" w:ascii="宋体" w:hAnsi="宋体" w:cs="宋体"/>
          <w:sz w:val="24"/>
          <w:szCs w:val="24"/>
        </w:rPr>
        <w:t>2.磋商小组</w:t>
      </w:r>
    </w:p>
    <w:p>
      <w:pPr>
        <w:pStyle w:val="38"/>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38"/>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20823304"/>
      <w:bookmarkStart w:id="88" w:name="_Toc513029232"/>
      <w:bookmarkStart w:id="89" w:name="_Toc16938548"/>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16938549"/>
      <w:bookmarkStart w:id="92" w:name="_Toc20823305"/>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38"/>
        <w:snapToGrid w:val="0"/>
        <w:rPr>
          <w:rFonts w:hint="eastAsia" w:hAnsi="宋体" w:eastAsia="宋体"/>
          <w:sz w:val="24"/>
          <w:szCs w:val="24"/>
        </w:rPr>
      </w:pPr>
      <w:bookmarkStart w:id="93" w:name="_Toc513029235"/>
      <w:bookmarkStart w:id="94" w:name="_Toc16938551"/>
      <w:bookmarkStart w:id="95" w:name="_Toc20823307"/>
      <w:r>
        <w:rPr>
          <w:rFonts w:hint="eastAsia" w:hAnsi="宋体" w:eastAsia="宋体"/>
          <w:sz w:val="24"/>
          <w:szCs w:val="24"/>
        </w:rPr>
        <w:t>（1）响应无效条款</w:t>
      </w:r>
    </w:p>
    <w:p>
      <w:pPr>
        <w:pStyle w:val="35"/>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5"/>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5"/>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5"/>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38"/>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5"/>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5"/>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38"/>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38"/>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20823308"/>
      <w:bookmarkStart w:id="101" w:name="_Toc513029236"/>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513029237"/>
      <w:bookmarkStart w:id="105" w:name="_Toc20823309"/>
      <w:r>
        <w:rPr>
          <w:rFonts w:hint="eastAsia" w:ascii="宋体" w:hAnsi="宋体" w:cs="宋体"/>
          <w:sz w:val="24"/>
          <w:szCs w:val="24"/>
        </w:rPr>
        <w:t>1.签订合同</w:t>
      </w:r>
    </w:p>
    <w:p>
      <w:pPr>
        <w:pStyle w:val="38"/>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38"/>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8"/>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38"/>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38"/>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38"/>
        <w:snapToGrid w:val="0"/>
        <w:ind w:left="0" w:leftChars="0" w:right="280" w:rightChars="100" w:firstLine="0" w:firstLineChars="0"/>
        <w:rPr>
          <w:rFonts w:ascii="仿宋_GB2312" w:hAnsi="宋体" w:eastAsia="仿宋_GB2312"/>
          <w:bCs/>
          <w:szCs w:val="28"/>
        </w:rPr>
      </w:pPr>
    </w:p>
    <w:p>
      <w:pPr>
        <w:pStyle w:val="6"/>
        <w:numPr>
          <w:ilvl w:val="0"/>
          <w:numId w:val="2"/>
        </w:numPr>
        <w:snapToGrid w:val="0"/>
        <w:spacing w:before="0" w:after="0"/>
        <w:ind w:left="947" w:hanging="947"/>
        <w:jc w:val="center"/>
        <w:rPr>
          <w:rFonts w:hint="eastAsia"/>
        </w:rPr>
      </w:pPr>
      <w:bookmarkStart w:id="107" w:name="_Toc49763002"/>
      <w:r>
        <w:rPr>
          <w:rFonts w:hint="eastAsia" w:ascii="华文中宋" w:hAnsi="华文中宋" w:eastAsia="华文中宋"/>
          <w:bCs w:val="0"/>
          <w:color w:val="auto"/>
          <w:highlight w:val="none"/>
        </w:rPr>
        <w:t xml:space="preserve"> 合同主要条款</w:t>
      </w:r>
      <w:bookmarkEnd w:id="107"/>
    </w:p>
    <w:p>
      <w:pPr>
        <w:spacing w:line="360" w:lineRule="auto"/>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皖南医学院认知神经实验室改造工程项目</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lang w:val="en-US" w:eastAsia="zh-CN"/>
        </w:rPr>
        <w:t>施工</w:t>
      </w:r>
      <w:r>
        <w:rPr>
          <w:rFonts w:hint="eastAsia" w:ascii="黑体" w:hAnsi="黑体" w:eastAsia="黑体" w:cs="黑体"/>
          <w:b/>
          <w:spacing w:val="-6"/>
          <w:kern w:val="0"/>
          <w:sz w:val="36"/>
          <w:szCs w:val="36"/>
        </w:rPr>
        <w:t>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应用心理学实验中心平台项目认知心理实验室改造</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应用心理学实验中心平台项目认知心理实验室改造</w:t>
      </w:r>
      <w:r>
        <w:rPr>
          <w:rFonts w:hint="eastAsia" w:ascii="宋体" w:hAnsi="宋体" w:eastAsia="宋体" w:cs="宋体"/>
          <w:sz w:val="28"/>
          <w:szCs w:val="28"/>
          <w:u w:val="single"/>
          <w:lang w:val="en-US" w:eastAsia="zh-CN"/>
        </w:rPr>
        <w:t>工程</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赭麓校区南北楼</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3300.00</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30</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500</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涉及合同价款变动的变更项目必须按《皖南医学院基建、修缮工程变更签证单》逐级签字盖章生效后方可施工，</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highlight w:val="yellow"/>
        </w:rPr>
      </w:pPr>
      <w:r>
        <w:rPr>
          <w:rFonts w:hint="eastAsia" w:ascii="宋体" w:hAnsi="宋体" w:eastAsia="宋体" w:cs="宋体"/>
          <w:sz w:val="28"/>
          <w:szCs w:val="28"/>
        </w:rPr>
        <w:t>1.本工程不支付进度款，工程完工后由甲方组织验收，验收合格</w:t>
      </w:r>
      <w:r>
        <w:rPr>
          <w:rFonts w:hint="eastAsia" w:ascii="宋体" w:hAnsi="宋体" w:eastAsia="宋体" w:cs="宋体"/>
          <w:sz w:val="28"/>
          <w:szCs w:val="28"/>
          <w:highlight w:val="none"/>
        </w:rPr>
        <w:t>后凭乙方提供的发票支付至合同价（不含暂列金额）的</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70</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%；审计完成，乙方先将金额为终审价</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3</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%的质保金汇入甲方账户，甲方凭发票及质保金汇款凭证付至终审价的100%；</w:t>
      </w:r>
      <w:r>
        <w:rPr>
          <w:rFonts w:hint="eastAsia" w:ascii="宋体" w:hAnsi="宋体" w:eastAsia="宋体" w:cs="Times New Roman"/>
          <w:sz w:val="28"/>
          <w:szCs w:val="28"/>
          <w:highlight w:val="none"/>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w:t>
      </w:r>
      <w:r>
        <w:rPr>
          <w:rFonts w:hint="eastAsia" w:ascii="宋体" w:hAnsi="宋体" w:eastAsia="宋体" w:cs="宋体"/>
          <w:sz w:val="28"/>
          <w:szCs w:val="28"/>
          <w:lang w:val="en-US" w:eastAsia="zh-CN"/>
        </w:rPr>
        <w:t>详</w:t>
      </w:r>
      <w:r>
        <w:rPr>
          <w:rFonts w:hint="eastAsia" w:ascii="宋体" w:hAnsi="宋体" w:eastAsia="宋体" w:cs="宋体"/>
          <w:sz w:val="28"/>
          <w:szCs w:val="28"/>
        </w:rPr>
        <w:t>见</w:t>
      </w:r>
      <w:r>
        <w:rPr>
          <w:rFonts w:hint="eastAsia" w:ascii="宋体" w:hAnsi="宋体" w:eastAsia="宋体" w:cs="宋体"/>
          <w:sz w:val="28"/>
          <w:szCs w:val="28"/>
          <w:lang w:val="en-US" w:eastAsia="zh-CN"/>
        </w:rPr>
        <w:t>技术要求</w:t>
      </w:r>
      <w:r>
        <w:rPr>
          <w:rFonts w:hint="eastAsia" w:ascii="宋体" w:hAnsi="宋体" w:eastAsia="宋体" w:cs="宋体"/>
          <w:sz w:val="28"/>
          <w:szCs w:val="28"/>
        </w:rPr>
        <w:t>）。</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12</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郑逸凡</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13965158012</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捌</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陆</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贰</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6"/>
        <w:numPr>
          <w:ilvl w:val="0"/>
          <w:numId w:val="2"/>
        </w:numPr>
        <w:snapToGrid w:val="0"/>
        <w:spacing w:before="0" w:after="0"/>
        <w:ind w:left="947" w:leftChars="0" w:hanging="947" w:firstLineChars="0"/>
        <w:jc w:val="center"/>
        <w:rPr>
          <w:rFonts w:hint="eastAsia" w:ascii="华文中宋" w:hAnsi="华文中宋" w:eastAsia="华文中宋"/>
          <w:bCs w:val="0"/>
          <w:color w:val="auto"/>
        </w:rPr>
      </w:pPr>
      <w:bookmarkStart w:id="108" w:name="_Toc49763003"/>
      <w:r>
        <w:rPr>
          <w:rFonts w:hint="eastAsia" w:ascii="华文中宋" w:hAnsi="华文中宋" w:eastAsia="华文中宋"/>
          <w:bCs w:val="0"/>
          <w:color w:val="auto"/>
        </w:rPr>
        <w:t xml:space="preserve"> 项目需求</w:t>
      </w:r>
      <w:bookmarkEnd w:id="108"/>
    </w:p>
    <w:p>
      <w:pPr>
        <w:autoSpaceDN w:val="0"/>
        <w:rPr>
          <w:rFonts w:hint="eastAsia"/>
          <w:b/>
          <w:bCs/>
          <w:sz w:val="30"/>
          <w:szCs w:val="30"/>
        </w:rPr>
      </w:pP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我校赭麓校区应用心理学实验中心平台项目认识</w:t>
      </w:r>
      <w:r>
        <w:rPr>
          <w:rFonts w:hint="eastAsia" w:ascii="仿宋_GB2312" w:hAnsi="仿宋_GB2312" w:eastAsia="仿宋_GB2312" w:cs="仿宋_GB2312"/>
          <w:sz w:val="28"/>
          <w:szCs w:val="28"/>
          <w:lang w:val="en-US" w:eastAsia="zh-CN"/>
        </w:rPr>
        <w:t>神经</w:t>
      </w:r>
      <w:r>
        <w:rPr>
          <w:rFonts w:hint="eastAsia" w:ascii="仿宋_GB2312" w:hAnsi="仿宋_GB2312" w:eastAsia="仿宋_GB2312" w:cs="仿宋_GB2312"/>
          <w:sz w:val="28"/>
          <w:szCs w:val="28"/>
        </w:rPr>
        <w:t>实验室改造工程，施工地点位于南北楼。具体详见图纸、工作量清单和招标公告等。</w:t>
      </w:r>
    </w:p>
    <w:p>
      <w:pPr>
        <w:numPr>
          <w:ilvl w:val="0"/>
          <w:numId w:val="3"/>
        </w:num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项目名称：皖南医学院应用心理学实验中心平台项目认识</w:t>
      </w:r>
      <w:r>
        <w:rPr>
          <w:rFonts w:hint="eastAsia" w:ascii="仿宋_GB2312" w:hAnsi="仿宋_GB2312" w:eastAsia="仿宋_GB2312" w:cs="仿宋_GB2312"/>
          <w:sz w:val="28"/>
          <w:szCs w:val="28"/>
          <w:lang w:val="en-US" w:eastAsia="zh-CN"/>
        </w:rPr>
        <w:t>神经</w:t>
      </w:r>
      <w:r>
        <w:rPr>
          <w:rFonts w:hint="eastAsia" w:ascii="仿宋_GB2312" w:hAnsi="仿宋_GB2312" w:eastAsia="仿宋_GB2312" w:cs="仿宋_GB2312"/>
          <w:sz w:val="28"/>
          <w:szCs w:val="28"/>
        </w:rPr>
        <w:t>实验室改造工程</w:t>
      </w:r>
    </w:p>
    <w:p>
      <w:pPr>
        <w:numPr>
          <w:ilvl w:val="0"/>
          <w:numId w:val="3"/>
        </w:num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报名条件：</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1.具有独立法人资格，具有独立承担民事责任的能力。</w:t>
      </w:r>
    </w:p>
    <w:p>
      <w:pPr>
        <w:adjustRightInd w:val="0"/>
        <w:snapToGrid w:val="0"/>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2.具有</w:t>
      </w:r>
      <w:r>
        <w:rPr>
          <w:rFonts w:hint="eastAsia" w:ascii="仿宋_GB2312" w:hAnsi="仿宋_GB2312" w:eastAsia="仿宋_GB2312" w:cs="仿宋_GB2312"/>
          <w:sz w:val="28"/>
          <w:szCs w:val="28"/>
          <w:lang w:val="en-US" w:eastAsia="zh-CN"/>
        </w:rPr>
        <w:t>建筑工程施工总承包三级资质或</w:t>
      </w:r>
      <w:r>
        <w:rPr>
          <w:rFonts w:hint="eastAsia" w:ascii="仿宋_GB2312" w:hAnsi="仿宋_GB2312" w:eastAsia="仿宋_GB2312" w:cs="仿宋_GB2312"/>
          <w:sz w:val="28"/>
          <w:szCs w:val="28"/>
        </w:rPr>
        <w:t>建筑装修装饰工程专业承包</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级</w:t>
      </w:r>
      <w:r>
        <w:rPr>
          <w:rFonts w:hint="eastAsia" w:ascii="仿宋_GB2312" w:hAnsi="仿宋_GB2312" w:eastAsia="仿宋_GB2312" w:cs="仿宋_GB2312"/>
          <w:sz w:val="28"/>
          <w:szCs w:val="28"/>
          <w:lang w:val="en-US" w:eastAsia="zh-CN"/>
        </w:rPr>
        <w:t>资质</w:t>
      </w:r>
      <w:r>
        <w:rPr>
          <w:rFonts w:hint="eastAsia" w:ascii="仿宋_GB2312" w:hAnsi="仿宋_GB2312" w:eastAsia="仿宋_GB2312" w:cs="仿宋_GB2312"/>
          <w:sz w:val="28"/>
          <w:szCs w:val="28"/>
        </w:rPr>
        <w:t>及以上企业。投标单位相关资质须是建设行政主管部门核发的，且经年检合格。</w:t>
      </w:r>
    </w:p>
    <w:p>
      <w:pPr>
        <w:adjustRightInd w:val="0"/>
        <w:snapToGrid w:val="0"/>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3.具有良好的商业信誉和优良的售后服务，在近三年的经营活动中没有不良记录。</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三、改造主要工作内容及要求</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（一）技术方案参数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（1）“B”级屏蔽效能指标如下：</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磁场：100KHz-1MHz       ≥70dB-80dB</w:t>
      </w:r>
    </w:p>
    <w:p>
      <w:pPr>
        <w:spacing w:line="480" w:lineRule="exact"/>
        <w:ind w:firstLine="1400" w:firstLineChars="500"/>
        <w:rPr>
          <w:rFonts w:ascii="仿宋_GB2312" w:hAnsi="仿宋_GB2312" w:eastAsia="仿宋_GB2312" w:cs="仿宋_GB2312"/>
          <w:sz w:val="28"/>
          <w:szCs w:val="28"/>
        </w:rPr>
      </w:pPr>
      <w:r>
        <w:rPr>
          <w:rFonts w:hint="eastAsia" w:ascii="仿宋_GB2312" w:hAnsi="仿宋_GB2312" w:eastAsia="仿宋_GB2312" w:cs="仿宋_GB2312"/>
          <w:sz w:val="28"/>
          <w:szCs w:val="28"/>
        </w:rPr>
        <w:t>1MHz-20MHz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电场：20MHz-1GHz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微波：1GHz-6GHz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（2）装饰材料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选用环保等级高，甲醛浓度低的装饰材料，使室内甲醛浓度在0.1mg/m³左右。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（二）隔音屏蔽室墙面壳体（含吊顶5面）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墙面做50mm高龙骨，在龙骨内填充50mm隔音棉，在龙骨外面做3mm隔音毡，隔音毡上做12mm内层结构板(石膏板），结构板外面固定50mm隔音棉，详见大样图；顶面同墙面。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隔音棉规格：50mm，海绵一体带背胶防火，灰色。</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（三）地面处理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静电地板：150mm高，水泥夹层、钢板底面，铜箔网导地；静电地板内面、地面分别填充50mm隔音棉（参数同（二）内隔音棉规格），面上铺贴隔音地毯；符合环保阻燃国标。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（四）隔音屏蔽门</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工艺要求两层门板中间夹100mm隔音棉（参数同（二）内隔音棉规格），内面（向屏蔽室面）粘贴50mm吸音棉，门体厚度与屏蔽室墙体一致；隔音降噪效果不低于-30dB，符合环保阻燃国标。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（五）钢木结构实验台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台面材质：耐腐蚀理化板，静电处理；钢架材质：冷轧钢厚度不小于1.2mm，静电喷涂厚度不小于80微米，组合固定需带有角码固定。</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（六）风管空调等</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3匹定频1拖4风管式空调（外装），包含送、回风管、铜管、外机支架等所有</w:t>
      </w:r>
      <w:r>
        <w:rPr>
          <w:rFonts w:hint="eastAsia" w:ascii="仿宋_GB2312" w:hAnsi="仿宋_GB2312" w:eastAsia="仿宋_GB2312" w:cs="仿宋_GB2312"/>
          <w:sz w:val="28"/>
          <w:szCs w:val="28"/>
          <w:lang w:val="en-US" w:eastAsia="zh-CN"/>
        </w:rPr>
        <w:t>保证正常使用的</w:t>
      </w:r>
      <w:r>
        <w:rPr>
          <w:rFonts w:hint="eastAsia" w:ascii="仿宋_GB2312" w:hAnsi="仿宋_GB2312" w:eastAsia="仿宋_GB2312" w:cs="仿宋_GB2312"/>
          <w:sz w:val="28"/>
          <w:szCs w:val="28"/>
        </w:rPr>
        <w:t>管道及附件；在实验室顶部安装消音送、回风管，连接空调风机，各隔间配300x300全焊接式蜂窝波导窗1只共4只用于空调送风和回风；实验室外部墙面安装2路控制开关。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（七）照明、开关、插座、网口</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分隔后安装600x600 LED平板灯，220v、双驱、铝边，单只功率不低于48w；分隔后照明开关统一安装在外部；分隔后</w:t>
      </w:r>
      <w:r>
        <w:rPr>
          <w:rFonts w:hint="eastAsia" w:ascii="仿宋_GB2312" w:hAnsi="仿宋_GB2312" w:eastAsia="仿宋_GB2312" w:cs="仿宋_GB2312"/>
          <w:sz w:val="28"/>
          <w:szCs w:val="28"/>
          <w:lang w:val="en-US" w:eastAsia="zh-CN"/>
        </w:rPr>
        <w:t>各房间分别</w:t>
      </w:r>
      <w:r>
        <w:rPr>
          <w:rFonts w:hint="eastAsia" w:ascii="仿宋_GB2312" w:hAnsi="仿宋_GB2312" w:eastAsia="仿宋_GB2312" w:cs="仿宋_GB2312"/>
          <w:sz w:val="28"/>
          <w:szCs w:val="28"/>
        </w:rPr>
        <w:t>预留2组86型5孔开关；逻辑接地与大楼接地相连接；原房间内安装的校园无线网路由器拆除，最外间墙面预留1组有线网接口与楼宇内层汇聚交换机相连、接入校园网；开关、插座、网口高度和位置以现场勘定为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）洗头池及防水改造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成品18寸以上陶瓷方盆，配不锈钢支架、冷热水合金龙头、冷热水进水管、全铜防臭下水管；台面与墙面接缝处做防水、墙面距地1.8m做防水涂料。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）快热式电热水器及上下水改造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加热功率最小值</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5000W，具有恒温调节模式；配备全铜冷热水角阀、冷热水管、手持式花洒；32A空气开关。</w:t>
      </w:r>
    </w:p>
    <w:p>
      <w:pPr>
        <w:spacing w:line="480" w:lineRule="exact"/>
        <w:ind w:firstLine="560"/>
        <w:rPr>
          <w:rFonts w:ascii="仿宋_GB2312" w:hAnsi="仿宋_GB2312" w:eastAsia="仿宋_GB2312" w:cs="仿宋_GB2312"/>
          <w:sz w:val="28"/>
          <w:szCs w:val="28"/>
        </w:rPr>
      </w:pPr>
    </w:p>
    <w:p>
      <w:pPr>
        <w:numPr>
          <w:ilvl w:val="0"/>
          <w:numId w:val="4"/>
        </w:numPr>
        <w:tabs>
          <w:tab w:val="left" w:pos="567"/>
        </w:tabs>
        <w:spacing w:line="288" w:lineRule="auto"/>
        <w:ind w:right="-1"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其他注意事项</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1.承包人结合项目的特点，依据图纸和清单综合报价，如发现项目清单中有漏量、漏项的，请在开工前提出；施工完成后，必须满足验收规范和使用部门功能要求。 </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2.施工严格按照发包人提供的图纸进行，如有不确定尺寸、图纸与技术要求、清单不符等情况要及时与使用部门联系，得到后勤管理处工程项目负责人确认后方可施工。</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工程总报价含材料费（主材和辅材）、劳务费、搬运费（二次搬运及垂直运输费）、施工机械费、施工费或安装费、技术服务和售后服务费、综合管理费、隔音隔磁检测检验、空调器室内外所有管道、利润和税金等一切费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4.本工程工期为</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个日历天，承包人若不能按工期完成，每延期一天罚款500元（发包人原因除外，但需承包人书面提出，发包人现场负责人签字确认）；推迟10天及以上甲方将发函警告乙方并没收其全部工程履约保证金，将其录入学校黑名单库，3年内禁止参加学校任何招投标活动。不可抗力因素除外。</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5.承包人必须完善自身质量安全管理体系和文明施工措施，杜绝野蛮施工和安全事故发生。承包人若发生质量或安全事故，均由承包人自行承担一切后果，造成发包人损失的按实赔偿，并承担相应法律责任。禁止高空抛物。在施工过程中须对现场环境进行保护，如对墙面、地面及其他设施等造成破坏须原样修复或照价赔偿。</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6.工程施工中，垃圾须运输至校方指定地点临时覆盖堆放并每日清运出校外，运输需要符合环保、市政要求；完工后，保洁维修改造全部地点，清洁地面、墙面、门窗及玻璃上的油漆和灰尘，垃圾装袋并外运。</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7.本项目不提供预付款，工程完工后由甲方组织验收，验收合格后甲方凭乙方提供的正规发票，支付合同价（不含暂列金）的70%；审计完成后，乙方将数额为终审造价3%的工程质保金汇入甲方账户，甲方将剩余工程款一次性支付给乙方；质保金一年期满无质量问题后一次性退还（质保期从验收合格日期开始计算）。</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对于多次重复出现的管理和质量问题，学校将视情况通报芜湖市工程质量监督部门和公共资源交易管理中心等相关部门。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9.计价规则：设计变更、专业工程暂估价和甲方提出的变更调整部分，原则上参照投标文件中单价计算。投标文件中没有相同类型的子目，结算时执行</w:t>
      </w:r>
      <w:r>
        <w:rPr>
          <w:rFonts w:hint="eastAsia" w:ascii="仿宋_GB2312" w:hAnsi="仿宋_GB2312" w:eastAsia="仿宋_GB2312" w:cs="仿宋_GB2312"/>
          <w:spacing w:val="20"/>
          <w:sz w:val="28"/>
          <w:szCs w:val="28"/>
        </w:rPr>
        <w:t>2018版《安徽省建设工程工程量清单计价办法》、2018版《安徽省建设工程工程计价定额》及其配套的费用定额、《建设工程工程量清单计价规范》（GB50500-2013）</w:t>
      </w:r>
      <w:r>
        <w:rPr>
          <w:rFonts w:hint="eastAsia" w:ascii="仿宋_GB2312" w:hAnsi="仿宋_GB2312" w:eastAsia="仿宋_GB2312" w:cs="仿宋_GB2312"/>
          <w:sz w:val="28"/>
          <w:szCs w:val="28"/>
        </w:rPr>
        <w:t>，相关优惠率同投标优惠率一致；投标文件中没有的主材参考《芜湖工程造价信息》当月信息价八折计算，信息价中没有的材料结合市场定价。涉及合同价款变动的变更项目必须按《皖南医学院基建维修工程管理办法（修订）》（校政[2020]118号）及《后勤管理处基建维修工程变更签证管理规定（试行）》（后勤[2020]12号）逐级签字盖章生效后方可施工，否则，视为该项变更不涉及合同价款的变更，若发生费用由乙方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10.工程主要材料规定品牌如下</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注：承包人采购的所有设备、材料进场时均要有合格证、检测报告等，证明该产品符合校方要求；水电材料需要提供3C认证，并符合国家规范要求；必须由建设单位项目负责人签字确认后方可进场安装，否则不支付材料款；发包人保留在承包人进场后施工期间，对承包人进场使用的任何材料因不满足工程质量和功能使用要求，而要求承包人即行调换的权利。</w:t>
      </w:r>
    </w:p>
    <w:p>
      <w:pPr>
        <w:pStyle w:val="2"/>
        <w:rPr>
          <w:rFonts w:hint="eastAsia"/>
        </w:rPr>
      </w:pPr>
      <w:r>
        <w:rPr>
          <w:rFonts w:hint="eastAsia" w:ascii="仿宋_GB2312" w:hAnsi="仿宋_GB2312" w:eastAsia="仿宋_GB2312" w:cs="仿宋_GB2312"/>
          <w:sz w:val="28"/>
          <w:szCs w:val="28"/>
        </w:rPr>
        <w:t>11.如图纸与本技术要求有矛盾之处，以后勤管理处解释为准。</w:t>
      </w:r>
    </w:p>
    <w:p>
      <w:pPr>
        <w:pStyle w:val="6"/>
        <w:snapToGrid w:val="0"/>
        <w:spacing w:before="0" w:after="0"/>
        <w:ind w:left="0" w:leftChars="0" w:firstLine="0" w:firstLineChars="0"/>
        <w:jc w:val="center"/>
        <w:rPr>
          <w:rFonts w:ascii="楷体" w:hAnsi="楷体" w:eastAsia="楷体"/>
          <w:szCs w:val="28"/>
        </w:rPr>
      </w:pPr>
      <w:bookmarkStart w:id="109" w:name="_Toc49763004"/>
      <w:r>
        <w:rPr>
          <w:rFonts w:hint="eastAsia" w:ascii="华文中宋" w:hAnsi="华文中宋" w:eastAsia="华文中宋"/>
          <w:color w:val="auto"/>
        </w:rPr>
        <w:br w:type="page"/>
      </w:r>
      <w:r>
        <w:rPr>
          <w:rFonts w:hint="eastAsia" w:ascii="华文中宋" w:hAnsi="华文中宋" w:eastAsia="华文中宋"/>
          <w:color w:val="auto"/>
        </w:rPr>
        <w:t>第六章  评分办法和评分细则</w:t>
      </w:r>
      <w:bookmarkEnd w:id="109"/>
    </w:p>
    <w:p>
      <w:pPr>
        <w:adjustRightInd w:val="0"/>
        <w:snapToGrid w:val="0"/>
        <w:spacing w:line="460" w:lineRule="exact"/>
        <w:ind w:firstLine="560"/>
        <w:rPr>
          <w:rFonts w:ascii="楷体" w:hAnsi="楷体" w:eastAsia="楷体" w:cs="Times New Roman"/>
          <w:sz w:val="28"/>
          <w:szCs w:val="28"/>
        </w:rPr>
      </w:pPr>
      <w:bookmarkStart w:id="110" w:name="_Toc49763005"/>
      <w:r>
        <w:rPr>
          <w:rFonts w:hint="eastAsia" w:ascii="楷体" w:hAnsi="楷体" w:eastAsia="楷体"/>
          <w:sz w:val="28"/>
          <w:szCs w:val="28"/>
        </w:rPr>
        <w:t>一）</w:t>
      </w:r>
      <w:r>
        <w:rPr>
          <w:rFonts w:hint="eastAsia" w:ascii="楷体" w:hAnsi="楷体" w:eastAsia="楷体" w:cs="Times New Roman"/>
          <w:sz w:val="28"/>
          <w:szCs w:val="28"/>
        </w:rPr>
        <w:t>总则</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本次评标采用综合评分法，总分为100分，其中报价得分</w:t>
      </w:r>
      <w:r>
        <w:rPr>
          <w:rFonts w:hint="eastAsia" w:ascii="楷体" w:hAnsi="楷体" w:eastAsia="楷体" w:cs="Times New Roman"/>
          <w:spacing w:val="0"/>
          <w:sz w:val="28"/>
          <w:szCs w:val="28"/>
          <w:lang w:eastAsia="zh-CN"/>
        </w:rPr>
        <w:t>70</w:t>
      </w:r>
      <w:r>
        <w:rPr>
          <w:rFonts w:hint="eastAsia" w:ascii="楷体" w:hAnsi="楷体" w:eastAsia="楷体" w:cs="Times New Roman"/>
          <w:spacing w:val="0"/>
          <w:sz w:val="28"/>
          <w:szCs w:val="28"/>
        </w:rPr>
        <w:t>分、技术得分</w:t>
      </w:r>
      <w:r>
        <w:rPr>
          <w:rFonts w:hint="eastAsia" w:ascii="楷体" w:hAnsi="楷体" w:eastAsia="楷体"/>
          <w:spacing w:val="0"/>
          <w:sz w:val="28"/>
          <w:szCs w:val="28"/>
          <w:lang w:eastAsia="zh-CN"/>
        </w:rPr>
        <w:t>30</w:t>
      </w:r>
      <w:r>
        <w:rPr>
          <w:rFonts w:hint="eastAsia" w:ascii="楷体" w:hAnsi="楷体" w:eastAsia="楷体" w:cs="Times New Roman"/>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w:t>
      </w:r>
      <w:r>
        <w:rPr>
          <w:rFonts w:hint="eastAsia" w:ascii="楷体" w:hAnsi="楷体" w:eastAsia="楷体"/>
          <w:spacing w:val="0"/>
          <w:sz w:val="28"/>
          <w:szCs w:val="28"/>
        </w:rPr>
        <w:t>投标文件</w:t>
      </w:r>
      <w:r>
        <w:rPr>
          <w:rFonts w:hint="eastAsia" w:ascii="楷体" w:hAnsi="楷体" w:eastAsia="楷体" w:cs="Times New Roman"/>
          <w:spacing w:val="0"/>
          <w:sz w:val="28"/>
          <w:szCs w:val="28"/>
        </w:rPr>
        <w:t>不参与各项评分。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投标人评标综合得分=报价得分+技术得分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spacing w:val="0"/>
          <w:sz w:val="28"/>
          <w:szCs w:val="28"/>
        </w:rPr>
        <w:t>二）</w:t>
      </w:r>
      <w:r>
        <w:rPr>
          <w:rFonts w:hint="eastAsia" w:ascii="楷体" w:hAnsi="楷体" w:eastAsia="楷体" w:cs="Times New Roman"/>
          <w:spacing w:val="0"/>
          <w:sz w:val="28"/>
          <w:szCs w:val="28"/>
        </w:rPr>
        <w:t>评标内容及标准</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1、报价得分占总分</w:t>
      </w:r>
      <w:r>
        <w:rPr>
          <w:rFonts w:hint="eastAsia" w:ascii="楷体" w:hAnsi="楷体" w:eastAsia="楷体" w:cs="Times New Roman"/>
          <w:b/>
          <w:bCs/>
          <w:spacing w:val="0"/>
          <w:sz w:val="28"/>
          <w:szCs w:val="28"/>
          <w:lang w:val="en-US" w:eastAsia="zh-CN"/>
        </w:rPr>
        <w:t>70</w:t>
      </w:r>
      <w:r>
        <w:rPr>
          <w:rFonts w:hint="eastAsia" w:ascii="楷体" w:hAnsi="楷体" w:eastAsia="楷体" w:cs="Times New Roman"/>
          <w:b/>
          <w:bCs/>
          <w:spacing w:val="0"/>
          <w:sz w:val="28"/>
          <w:szCs w:val="28"/>
        </w:rPr>
        <w:t>%,分值为</w:t>
      </w:r>
      <w:r>
        <w:rPr>
          <w:rFonts w:hint="eastAsia" w:ascii="楷体" w:hAnsi="楷体" w:eastAsia="楷体"/>
          <w:b/>
          <w:bCs/>
          <w:spacing w:val="0"/>
          <w:sz w:val="28"/>
          <w:szCs w:val="28"/>
          <w:lang w:val="en-US" w:eastAsia="zh-CN"/>
        </w:rPr>
        <w:t>70</w:t>
      </w:r>
      <w:r>
        <w:rPr>
          <w:rFonts w:hint="eastAsia" w:ascii="楷体" w:hAnsi="楷体" w:eastAsia="楷体" w:cs="Times New Roman"/>
          <w:b/>
          <w:bCs/>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有效投标单位为在10家以内（含）的，各投标单位报价平均值作为基准分；超过10家的，去掉</w:t>
      </w:r>
      <w:r>
        <w:rPr>
          <w:rFonts w:hint="eastAsia" w:ascii="楷体" w:hAnsi="楷体" w:eastAsia="楷体"/>
          <w:spacing w:val="0"/>
          <w:sz w:val="28"/>
          <w:szCs w:val="28"/>
        </w:rPr>
        <w:t>二</w:t>
      </w:r>
      <w:r>
        <w:rPr>
          <w:rFonts w:hint="eastAsia" w:ascii="楷体" w:hAnsi="楷体" w:eastAsia="楷体" w:cs="Times New Roman"/>
          <w:spacing w:val="0"/>
          <w:sz w:val="28"/>
          <w:szCs w:val="28"/>
        </w:rPr>
        <w:t>个最高报价和二个最低报价，其余各投标单位报价平均值作为基准分（</w:t>
      </w:r>
      <w:r>
        <w:rPr>
          <w:rFonts w:hint="eastAsia" w:ascii="楷体" w:hAnsi="楷体" w:eastAsia="楷体"/>
          <w:spacing w:val="0"/>
          <w:sz w:val="28"/>
          <w:szCs w:val="28"/>
          <w:lang w:val="en-US" w:eastAsia="zh-CN"/>
        </w:rPr>
        <w:t>7</w:t>
      </w:r>
      <w:r>
        <w:rPr>
          <w:rFonts w:hint="eastAsia" w:ascii="楷体" w:hAnsi="楷体" w:eastAsia="楷体"/>
          <w:spacing w:val="0"/>
          <w:sz w:val="28"/>
          <w:szCs w:val="28"/>
          <w:lang w:eastAsia="zh-CN"/>
        </w:rPr>
        <w:t>0</w:t>
      </w:r>
      <w:r>
        <w:rPr>
          <w:rFonts w:hint="eastAsia" w:ascii="楷体" w:hAnsi="楷体" w:eastAsia="楷体" w:cs="Times New Roman"/>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报价得分＝基准分－|(投标人报价－平均报价）／平均报价|X 100 X B ;（报价得分保留2位小数）</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B取值方式为：</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1）当投标人报价高于平均报价时，B取值为1.0；</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2）当投标人报价低于平均报价时，B取值为0.5。</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2、技术得分</w:t>
      </w:r>
      <w:r>
        <w:rPr>
          <w:rFonts w:hint="eastAsia" w:ascii="楷体" w:hAnsi="楷体" w:eastAsia="楷体"/>
          <w:b/>
          <w:bCs/>
          <w:spacing w:val="0"/>
          <w:sz w:val="28"/>
          <w:szCs w:val="28"/>
          <w:lang w:eastAsia="zh-CN"/>
        </w:rPr>
        <w:t>30</w:t>
      </w:r>
      <w:r>
        <w:rPr>
          <w:rFonts w:hint="eastAsia" w:ascii="楷体" w:hAnsi="楷体" w:eastAsia="楷体" w:cs="Times New Roman"/>
          <w:b/>
          <w:bCs/>
          <w:spacing w:val="0"/>
          <w:sz w:val="28"/>
          <w:szCs w:val="28"/>
        </w:rPr>
        <w:t>分</w:t>
      </w:r>
    </w:p>
    <w:tbl>
      <w:tblPr>
        <w:tblStyle w:val="26"/>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932"/>
        <w:gridCol w:w="851"/>
        <w:gridCol w:w="5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序号</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评审内容</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分值</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1</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施工组织机构和人员组成</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组织机构齐全，人员配备合理得</w:t>
            </w:r>
            <w:r>
              <w:rPr>
                <w:rFonts w:hint="eastAsia" w:ascii="楷体" w:hAnsi="楷体" w:eastAsia="楷体"/>
                <w:sz w:val="28"/>
                <w:szCs w:val="28"/>
                <w:lang w:val="en-US" w:eastAsia="zh-CN"/>
              </w:rPr>
              <w:t>2</w:t>
            </w:r>
            <w:r>
              <w:rPr>
                <w:rFonts w:hint="eastAsia" w:ascii="楷体" w:hAnsi="楷体" w:eastAsia="楷体" w:cs="Times New Roman"/>
                <w:sz w:val="28"/>
                <w:szCs w:val="28"/>
              </w:rPr>
              <w:t>分，有缺陷的酌情减分。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2</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施工进度计划</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总施工工期目标明确，关键节点明确，各分项工程施工顺序安排恰当、工序衔接合理，进度计划安排科学，得</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分。不足的酌情减分。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3</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施工质量保证体系</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质量管理体系完善，工程质量措施完善，按单位、分部和分项分解细化,具体明确，制度健全，能确保工程质量的，得</w:t>
            </w:r>
            <w:r>
              <w:rPr>
                <w:rFonts w:hint="eastAsia" w:ascii="楷体" w:hAnsi="楷体" w:eastAsia="楷体"/>
                <w:sz w:val="28"/>
                <w:szCs w:val="28"/>
                <w:lang w:val="en-US" w:eastAsia="zh-CN"/>
              </w:rPr>
              <w:t>3</w:t>
            </w:r>
            <w:r>
              <w:rPr>
                <w:rFonts w:hint="eastAsia" w:ascii="楷体" w:hAnsi="楷体" w:eastAsia="楷体" w:cs="Times New Roman"/>
                <w:sz w:val="28"/>
                <w:szCs w:val="28"/>
              </w:rPr>
              <w:t>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4</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sz w:val="28"/>
                <w:szCs w:val="28"/>
              </w:rPr>
              <w:t>材料品牌保证</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楷体" w:hAnsi="楷体" w:eastAsia="楷体" w:cs="Times New Roman"/>
                <w:sz w:val="28"/>
                <w:szCs w:val="28"/>
                <w:lang w:val="en-US" w:eastAsia="zh-CN"/>
              </w:rPr>
            </w:pPr>
            <w:r>
              <w:rPr>
                <w:rFonts w:hint="eastAsia" w:ascii="楷体" w:hAnsi="楷体" w:eastAsia="楷体"/>
                <w:sz w:val="28"/>
                <w:szCs w:val="28"/>
              </w:rPr>
              <w:t>投标文件中明确所有材料品牌及规格、且是技术要求中所列的品牌的，得</w:t>
            </w:r>
            <w:r>
              <w:rPr>
                <w:rFonts w:hint="eastAsia" w:ascii="楷体" w:hAnsi="楷体" w:eastAsia="楷体"/>
                <w:sz w:val="28"/>
                <w:szCs w:val="28"/>
                <w:lang w:val="en-US" w:eastAsia="zh-CN"/>
              </w:rPr>
              <w:t>9</w:t>
            </w:r>
            <w:r>
              <w:rPr>
                <w:rFonts w:hint="eastAsia" w:ascii="楷体" w:hAnsi="楷体" w:eastAsia="楷体"/>
                <w:sz w:val="28"/>
                <w:szCs w:val="28"/>
              </w:rPr>
              <w:t>分；所列品牌不全的，按列的数量酌情给分，给分标准为</w:t>
            </w:r>
            <w:r>
              <w:rPr>
                <w:rFonts w:hint="eastAsia" w:ascii="楷体" w:hAnsi="楷体" w:eastAsia="楷体"/>
                <w:sz w:val="28"/>
                <w:szCs w:val="28"/>
                <w:lang w:val="en-US" w:eastAsia="zh-CN"/>
              </w:rPr>
              <w:t>8</w:t>
            </w:r>
            <w:r>
              <w:rPr>
                <w:rFonts w:hint="eastAsia" w:ascii="楷体" w:hAnsi="楷体" w:eastAsia="楷体"/>
                <w:sz w:val="28"/>
                <w:szCs w:val="28"/>
              </w:rPr>
              <w:t>-1分；未列材料品牌或列出的品牌与招标文件要求均不相符得0分</w:t>
            </w:r>
            <w:r>
              <w:rPr>
                <w:rFonts w:hint="eastAsia" w:ascii="楷体" w:hAnsi="楷体" w:eastAsia="楷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5</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业    绩</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投标单位自201</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年</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月1日至开标之日止承担</w:t>
            </w:r>
            <w:r>
              <w:rPr>
                <w:rFonts w:hint="eastAsia" w:ascii="楷体" w:hAnsi="楷体" w:eastAsia="楷体" w:cs="Times New Roman"/>
                <w:spacing w:val="0"/>
                <w:sz w:val="28"/>
                <w:szCs w:val="28"/>
                <w:lang w:val="en-US" w:eastAsia="zh-CN"/>
              </w:rPr>
              <w:t>合同价大于10万的维修</w:t>
            </w:r>
            <w:r>
              <w:rPr>
                <w:rFonts w:hint="eastAsia" w:ascii="楷体" w:hAnsi="楷体" w:eastAsia="楷体" w:cs="Times New Roman"/>
                <w:spacing w:val="0"/>
                <w:sz w:val="28"/>
                <w:szCs w:val="28"/>
                <w:lang w:eastAsia="zh-CN"/>
              </w:rPr>
              <w:t>改造</w:t>
            </w:r>
            <w:r>
              <w:rPr>
                <w:rFonts w:hint="eastAsia" w:ascii="楷体" w:hAnsi="楷体" w:eastAsia="楷体" w:cs="Times New Roman"/>
                <w:spacing w:val="0"/>
                <w:sz w:val="28"/>
                <w:szCs w:val="28"/>
              </w:rPr>
              <w:t>工程的业绩，每提供一项得</w:t>
            </w:r>
            <w:r>
              <w:rPr>
                <w:rFonts w:hint="eastAsia" w:ascii="楷体" w:hAnsi="楷体" w:eastAsia="楷体" w:cs="Times New Roman"/>
                <w:spacing w:val="0"/>
                <w:sz w:val="28"/>
                <w:szCs w:val="28"/>
                <w:lang w:val="en-US" w:eastAsia="zh-CN"/>
              </w:rPr>
              <w:t>3</w:t>
            </w:r>
            <w:r>
              <w:rPr>
                <w:rFonts w:hint="eastAsia" w:ascii="楷体" w:hAnsi="楷体" w:eastAsia="楷体" w:cs="Times New Roman"/>
                <w:spacing w:val="0"/>
                <w:sz w:val="28"/>
                <w:szCs w:val="28"/>
              </w:rPr>
              <w:t>分，最高得</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分。（认定业绩的依据为施工合同，合同的复印件装订在投标文件中，原件用档案袋密封在开标前随投标文件一起递交给监督人员，以供评委核对，未提供原件的业绩为不得分，业绩时间以合同上的时间为准。）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6</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售后承诺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包括保修年限，服务标准，人员配备，维修及保障措施等，根据投标单位承诺情况由评委给予0-</w:t>
            </w:r>
            <w:r>
              <w:rPr>
                <w:rFonts w:hint="eastAsia" w:ascii="楷体" w:hAnsi="楷体" w:eastAsia="楷体"/>
                <w:spacing w:val="0"/>
                <w:sz w:val="28"/>
                <w:szCs w:val="28"/>
                <w:lang w:val="en-US" w:eastAsia="zh-CN"/>
              </w:rPr>
              <w:t>3</w:t>
            </w:r>
            <w:r>
              <w:rPr>
                <w:rFonts w:hint="eastAsia" w:ascii="楷体" w:hAnsi="楷体" w:eastAsia="楷体" w:cs="Times New Roman"/>
                <w:spacing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7</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lang w:val="en-US" w:eastAsia="zh-CN"/>
              </w:rPr>
              <w:t>踏勘</w:t>
            </w:r>
            <w:r>
              <w:rPr>
                <w:rFonts w:hint="eastAsia" w:ascii="楷体" w:hAnsi="楷体" w:eastAsia="楷体" w:cs="Times New Roman"/>
                <w:sz w:val="28"/>
                <w:szCs w:val="28"/>
              </w:rPr>
              <w:t>现场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sz w:val="28"/>
                <w:szCs w:val="28"/>
                <w:lang w:eastAsia="zh-CN"/>
              </w:rPr>
            </w:pPr>
            <w:r>
              <w:rPr>
                <w:rFonts w:hint="eastAsia" w:ascii="楷体" w:hAnsi="楷体" w:eastAsia="楷体"/>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各投标单位按时</w:t>
            </w:r>
            <w:r>
              <w:rPr>
                <w:rFonts w:hint="eastAsia" w:ascii="楷体" w:hAnsi="楷体" w:eastAsia="楷体" w:cs="Times New Roman"/>
                <w:spacing w:val="0"/>
                <w:sz w:val="28"/>
                <w:szCs w:val="28"/>
                <w:lang w:val="en-US" w:eastAsia="zh-CN"/>
              </w:rPr>
              <w:t>踏勘</w:t>
            </w:r>
            <w:r>
              <w:rPr>
                <w:rFonts w:hint="eastAsia" w:ascii="楷体" w:hAnsi="楷体" w:eastAsia="楷体" w:cs="Times New Roman"/>
                <w:spacing w:val="0"/>
                <w:sz w:val="28"/>
                <w:szCs w:val="28"/>
              </w:rPr>
              <w:t>现场，参加现场</w:t>
            </w:r>
            <w:r>
              <w:rPr>
                <w:rFonts w:hint="eastAsia" w:ascii="楷体" w:hAnsi="楷体" w:eastAsia="楷体" w:cs="Times New Roman"/>
                <w:spacing w:val="0"/>
                <w:sz w:val="28"/>
                <w:szCs w:val="28"/>
                <w:lang w:val="en-US" w:eastAsia="zh-CN"/>
              </w:rPr>
              <w:t>踏勘者</w:t>
            </w:r>
            <w:r>
              <w:rPr>
                <w:rFonts w:hint="eastAsia" w:ascii="楷体" w:hAnsi="楷体" w:eastAsia="楷体" w:cs="Times New Roman"/>
                <w:spacing w:val="0"/>
                <w:sz w:val="28"/>
                <w:szCs w:val="28"/>
              </w:rPr>
              <w:t>得</w:t>
            </w:r>
            <w:r>
              <w:rPr>
                <w:rFonts w:hint="eastAsia" w:ascii="楷体" w:hAnsi="楷体" w:eastAsia="楷体" w:cs="Times New Roman"/>
                <w:spacing w:val="0"/>
                <w:sz w:val="28"/>
                <w:szCs w:val="28"/>
                <w:lang w:val="en-US" w:eastAsia="zh-CN"/>
              </w:rPr>
              <w:t>2</w:t>
            </w:r>
            <w:r>
              <w:rPr>
                <w:rFonts w:hint="eastAsia" w:ascii="楷体" w:hAnsi="楷体" w:eastAsia="楷体" w:cs="Times New Roman"/>
                <w:spacing w:val="0"/>
                <w:sz w:val="28"/>
                <w:szCs w:val="28"/>
              </w:rPr>
              <w:t>分，没有</w:t>
            </w:r>
            <w:r>
              <w:rPr>
                <w:rFonts w:hint="eastAsia" w:ascii="楷体" w:hAnsi="楷体" w:eastAsia="楷体" w:cs="Times New Roman"/>
                <w:spacing w:val="0"/>
                <w:sz w:val="28"/>
                <w:szCs w:val="28"/>
                <w:lang w:val="en-US" w:eastAsia="zh-CN"/>
              </w:rPr>
              <w:t>参加者</w:t>
            </w:r>
            <w:r>
              <w:rPr>
                <w:rFonts w:hint="eastAsia" w:ascii="楷体" w:hAnsi="楷体" w:eastAsia="楷体" w:cs="Times New Roman"/>
                <w:spacing w:val="0"/>
                <w:sz w:val="28"/>
                <w:szCs w:val="28"/>
              </w:rPr>
              <w:t>不得分，以</w:t>
            </w:r>
            <w:r>
              <w:rPr>
                <w:rFonts w:hint="eastAsia" w:ascii="楷体" w:hAnsi="楷体" w:eastAsia="楷体" w:cs="Times New Roman"/>
                <w:spacing w:val="0"/>
                <w:sz w:val="28"/>
                <w:szCs w:val="28"/>
                <w:lang w:val="en-US" w:eastAsia="zh-CN"/>
              </w:rPr>
              <w:t>踏勘现场签到表</w:t>
            </w:r>
            <w:r>
              <w:rPr>
                <w:rFonts w:hint="eastAsia" w:ascii="楷体" w:hAnsi="楷体" w:eastAsia="楷体" w:cs="Times New Roman"/>
                <w:spacing w:val="0"/>
                <w:sz w:val="28"/>
                <w:szCs w:val="28"/>
              </w:rPr>
              <w:t>为准。</w:t>
            </w:r>
          </w:p>
        </w:tc>
      </w:tr>
    </w:tbl>
    <w:p>
      <w:pPr>
        <w:adjustRightInd w:val="0"/>
        <w:snapToGrid w:val="0"/>
        <w:spacing w:line="460" w:lineRule="exact"/>
        <w:ind w:firstLine="560"/>
        <w:rPr>
          <w:rFonts w:ascii="楷体" w:hAnsi="楷体" w:eastAsia="楷体" w:cs="Times New Roman"/>
          <w:color w:val="FF0000"/>
          <w:sz w:val="28"/>
          <w:szCs w:val="28"/>
        </w:rPr>
      </w:pPr>
      <w:r>
        <w:rPr>
          <w:rFonts w:hint="eastAsia" w:ascii="楷体" w:hAnsi="楷体" w:eastAsia="楷体" w:cs="Times New Roman"/>
          <w:sz w:val="28"/>
          <w:szCs w:val="28"/>
        </w:rPr>
        <w:t>其他：</w:t>
      </w:r>
      <w:r>
        <w:rPr>
          <w:rFonts w:ascii="楷体" w:hAnsi="楷体" w:eastAsia="楷体" w:cs="Times New Roman"/>
          <w:sz w:val="28"/>
          <w:szCs w:val="28"/>
        </w:rPr>
        <w:t>如</w:t>
      </w:r>
      <w:r>
        <w:rPr>
          <w:rFonts w:hint="eastAsia" w:ascii="楷体" w:hAnsi="楷体" w:eastAsia="楷体" w:cs="Times New Roman"/>
          <w:sz w:val="28"/>
          <w:szCs w:val="28"/>
        </w:rPr>
        <w:t>第一</w:t>
      </w:r>
      <w:r>
        <w:rPr>
          <w:rFonts w:ascii="楷体" w:hAnsi="楷体" w:eastAsia="楷体" w:cs="Times New Roman"/>
          <w:sz w:val="28"/>
          <w:szCs w:val="28"/>
        </w:rPr>
        <w:t>中标人放弃中标</w:t>
      </w:r>
      <w:r>
        <w:rPr>
          <w:rFonts w:hint="eastAsia" w:ascii="楷体" w:hAnsi="楷体" w:eastAsia="楷体" w:cs="Times New Roman"/>
          <w:sz w:val="28"/>
          <w:szCs w:val="28"/>
        </w:rPr>
        <w:t>,</w:t>
      </w:r>
      <w:r>
        <w:rPr>
          <w:rFonts w:ascii="楷体" w:hAnsi="楷体" w:eastAsia="楷体" w:cs="Times New Roman"/>
          <w:sz w:val="28"/>
          <w:szCs w:val="28"/>
        </w:rPr>
        <w:t>或因不可抗力提出不能履行合同，或者招标文件规定应当提交履约保证金而在规定的期限内未能提交的，招标人可以</w:t>
      </w:r>
      <w:r>
        <w:rPr>
          <w:rFonts w:hint="eastAsia" w:ascii="楷体" w:hAnsi="楷体" w:eastAsia="楷体" w:cs="Times New Roman"/>
          <w:sz w:val="28"/>
          <w:szCs w:val="28"/>
        </w:rPr>
        <w:t>选择排名第二名中标人进行递补</w:t>
      </w:r>
      <w:r>
        <w:rPr>
          <w:rFonts w:ascii="楷体" w:hAnsi="楷体" w:eastAsia="楷体" w:cs="Times New Roman"/>
          <w:sz w:val="28"/>
          <w:szCs w:val="28"/>
        </w:rPr>
        <w:t>。</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sz w:val="28"/>
          <w:szCs w:val="28"/>
        </w:rPr>
        <w:t>三）</w:t>
      </w:r>
      <w:r>
        <w:rPr>
          <w:rFonts w:hint="eastAsia" w:ascii="楷体" w:hAnsi="楷体" w:eastAsia="楷体" w:cs="Times New Roman"/>
          <w:sz w:val="28"/>
          <w:szCs w:val="28"/>
        </w:rPr>
        <w:t>确定中标人</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cs="Times New Roman"/>
          <w:sz w:val="28"/>
          <w:szCs w:val="28"/>
        </w:rPr>
        <w:t>1、中标人一旦确定后，将在网上公布中标人，三个工作日内无异议，发出中标通知书。</w:t>
      </w:r>
    </w:p>
    <w:p>
      <w:pPr>
        <w:ind w:firstLine="420"/>
      </w:pPr>
    </w:p>
    <w:p>
      <w:pPr>
        <w:pStyle w:val="45"/>
        <w:spacing w:line="600" w:lineRule="exact"/>
        <w:rPr>
          <w:rFonts w:ascii="Calibri" w:hAnsi="Calibri" w:eastAsia="宋体" w:cs="Times New Roman"/>
          <w:kern w:val="2"/>
          <w:sz w:val="28"/>
          <w:szCs w:val="28"/>
        </w:rPr>
      </w:pPr>
    </w:p>
    <w:p>
      <w:pPr>
        <w:jc w:val="center"/>
        <w:rPr>
          <w:rFonts w:hint="eastAsia"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1" w:name="_Toc403987220"/>
      <w:r>
        <w:rPr>
          <w:rFonts w:hint="eastAsia" w:ascii="华文中宋" w:hAnsi="华文中宋" w:eastAsia="华文中宋"/>
          <w:b/>
          <w:sz w:val="36"/>
          <w:szCs w:val="36"/>
        </w:rPr>
        <w:t>响应文件格式</w:t>
      </w:r>
      <w:bookmarkEnd w:id="110"/>
      <w:bookmarkEnd w:id="111"/>
    </w:p>
    <w:p>
      <w:pPr>
        <w:jc w:val="center"/>
        <w:rPr>
          <w:rFonts w:hAnsi="宋体"/>
          <w:b/>
          <w:sz w:val="72"/>
        </w:rPr>
      </w:pPr>
      <w:bookmarkStart w:id="112" w:name="_Hlt26955039"/>
      <w:bookmarkEnd w:id="112"/>
      <w:bookmarkStart w:id="113" w:name="_Hlt26671244"/>
      <w:bookmarkEnd w:id="113"/>
      <w:bookmarkStart w:id="114" w:name="_Toc26554094"/>
      <w:bookmarkStart w:id="115" w:name="_Toc120614282"/>
      <w:bookmarkStart w:id="116"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五、清单报价明细表</w:t>
      </w:r>
    </w:p>
    <w:p>
      <w:pPr>
        <w:adjustRightInd w:val="0"/>
        <w:snapToGrid w:val="0"/>
        <w:spacing w:line="360" w:lineRule="auto"/>
        <w:rPr>
          <w:rFonts w:ascii="宋体" w:hAnsi="宋体"/>
          <w:b/>
          <w:sz w:val="24"/>
          <w:szCs w:val="24"/>
        </w:rPr>
      </w:pPr>
      <w:r>
        <w:rPr>
          <w:rFonts w:hint="eastAsia" w:ascii="宋体" w:hAnsi="宋体"/>
          <w:b/>
          <w:sz w:val="24"/>
          <w:szCs w:val="24"/>
        </w:rPr>
        <w:t>六、施工方案</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6"/>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皖南医学院认知神经实验室改造工程项目</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
              <w:numPr>
                <w:ilvl w:val="0"/>
                <w:numId w:val="0"/>
              </w:numPr>
              <w:rPr>
                <w:rFonts w:hint="eastAsia"/>
                <w:lang w:val="en-US" w:eastAsia="zh-CN"/>
              </w:rPr>
            </w:pP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4"/>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jc w:val="center"/>
        <w:rPr>
          <w:rStyle w:val="64"/>
          <w:rFonts w:ascii="华文中宋" w:hAnsi="华文中宋" w:eastAsia="华文中宋"/>
          <w:color w:val="auto"/>
          <w:sz w:val="28"/>
          <w:szCs w:val="28"/>
        </w:rPr>
      </w:pPr>
      <w:r>
        <w:rPr>
          <w:rStyle w:val="64"/>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6"/>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4"/>
          <w:rFonts w:ascii="华文中宋" w:hAnsi="华文中宋" w:eastAsia="华文中宋"/>
          <w:color w:val="auto"/>
          <w:sz w:val="28"/>
          <w:szCs w:val="28"/>
        </w:rPr>
      </w:pPr>
      <w:r>
        <w:rPr>
          <w:rFonts w:hAnsi="宋体"/>
          <w:sz w:val="32"/>
          <w:szCs w:val="32"/>
        </w:rPr>
        <w:br w:type="page"/>
      </w:r>
      <w:r>
        <w:rPr>
          <w:rStyle w:val="64"/>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22356583"/>
      <w:bookmarkStart w:id="118" w:name="_Toc513029281"/>
      <w:bookmarkStart w:id="119" w:name="_Toc49090582"/>
      <w:bookmarkStart w:id="120" w:name="_Toc120614291"/>
      <w:bookmarkStart w:id="121" w:name="_Toc24878535"/>
      <w:bookmarkStart w:id="122" w:name="_Toc23828483"/>
      <w:bookmarkStart w:id="123" w:name="_Toc26554103"/>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6"/>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38"/>
        <w:ind w:firstLine="0" w:firstLineChars="0"/>
        <w:rPr>
          <w:rFonts w:hint="eastAsia" w:hAnsi="宋体" w:eastAsia="宋体"/>
          <w:sz w:val="24"/>
          <w:szCs w:val="24"/>
        </w:rPr>
      </w:pPr>
    </w:p>
    <w:bookmarkEnd w:id="124"/>
    <w:p>
      <w:pPr>
        <w:jc w:val="center"/>
        <w:rPr>
          <w:rStyle w:val="64"/>
          <w:rFonts w:ascii="华文中宋" w:hAnsi="华文中宋" w:eastAsia="华文中宋"/>
          <w:b w:val="0"/>
          <w:color w:val="auto"/>
          <w:sz w:val="28"/>
          <w:szCs w:val="28"/>
        </w:rPr>
      </w:pPr>
      <w:bookmarkStart w:id="125" w:name="_Toc23828478"/>
      <w:bookmarkStart w:id="126" w:name="_Toc513029276"/>
      <w:bookmarkStart w:id="127" w:name="_Toc120614283"/>
      <w:bookmarkStart w:id="128" w:name="_Toc460901585"/>
      <w:bookmarkStart w:id="129" w:name="_Toc26554095"/>
      <w:bookmarkStart w:id="130" w:name="_Toc22356580"/>
      <w:bookmarkStart w:id="131" w:name="_Toc49090577"/>
      <w:r>
        <w:rPr>
          <w:rFonts w:hint="eastAsia" w:ascii="华文中宋" w:hAnsi="华文中宋" w:eastAsia="华文中宋"/>
          <w:b/>
          <w:spacing w:val="-6"/>
          <w:szCs w:val="28"/>
        </w:rPr>
        <w:t>四、</w:t>
      </w:r>
      <w:r>
        <w:rPr>
          <w:rStyle w:val="64"/>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4"/>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b/>
          <w:bCs/>
          <w:sz w:val="28"/>
          <w:szCs w:val="28"/>
        </w:rPr>
      </w:pPr>
      <w:r>
        <w:rPr>
          <w:rFonts w:hint="eastAsia" w:ascii="仿宋_GB2312" w:eastAsia="仿宋_GB2312"/>
          <w:b/>
          <w:bCs/>
          <w:sz w:val="28"/>
          <w:szCs w:val="28"/>
        </w:rPr>
        <w:t>五、清单报价明细表（结合项目需求自行编制）</w:t>
      </w:r>
    </w:p>
    <w:p>
      <w:pPr>
        <w:rPr>
          <w:rFonts w:ascii="仿宋_GB2312" w:eastAsia="仿宋_GB2312"/>
          <w:b/>
          <w:bCs/>
          <w:sz w:val="28"/>
          <w:szCs w:val="28"/>
        </w:rPr>
      </w:pPr>
      <w:r>
        <w:rPr>
          <w:rFonts w:hint="eastAsia" w:ascii="仿宋_GB2312" w:eastAsia="仿宋_GB2312"/>
          <w:b/>
          <w:bCs/>
          <w:sz w:val="28"/>
          <w:szCs w:val="28"/>
        </w:rPr>
        <w:t>六、施工方案（主要但不限于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3"/>
      <w:bookmarkStart w:id="134" w:name="OLE_LINK1"/>
      <w:bookmarkStart w:id="135" w:name="OLE_LINK2"/>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5"/>
      <w:bookmarkStart w:id="137" w:name="OLE_LINK9"/>
      <w:bookmarkStart w:id="138" w:name="OLE_LINK6"/>
      <w:bookmarkStart w:id="139" w:name="OLE_LINK8"/>
      <w:bookmarkStart w:id="140" w:name="OLE_LINK7"/>
      <w:bookmarkStart w:id="141" w:name="OLE_LINK4"/>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6"/>
      <w:bookmarkStart w:id="143" w:name="OLE_LINK78"/>
      <w:bookmarkStart w:id="144" w:name="OLE_LINK77"/>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4"/>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第五章 </w:t>
      </w:r>
      <w:r>
        <w:rPr>
          <w:rStyle w:val="29"/>
          <w:rFonts w:hint="eastAsia" w:ascii="微软雅黑" w:hAnsi="微软雅黑" w:eastAsia="黑体"/>
          <w:sz w:val="30"/>
          <w:szCs w:val="30"/>
        </w:rPr>
        <w:t> </w:t>
      </w:r>
      <w:r>
        <w:rPr>
          <w:rStyle w:val="29"/>
          <w:rFonts w:hint="eastAsia" w:ascii="黑体" w:hAnsi="黑体" w:eastAsia="黑体"/>
          <w:sz w:val="30"/>
          <w:szCs w:val="30"/>
        </w:rPr>
        <w:t>投诉的处理</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2"/>
      <w:bookmarkStart w:id="146" w:name="OLE_LINK13"/>
      <w:bookmarkStart w:id="147"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4"/>
      <w:bookmarkStart w:id="149" w:name="OLE_LINK15"/>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Style w:val="29"/>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第六章 </w:t>
      </w:r>
      <w:r>
        <w:rPr>
          <w:rStyle w:val="29"/>
          <w:rFonts w:hint="eastAsia" w:ascii="微软雅黑" w:hAnsi="微软雅黑" w:eastAsia="黑体"/>
          <w:sz w:val="30"/>
          <w:szCs w:val="30"/>
        </w:rPr>
        <w:t> </w:t>
      </w:r>
      <w:r>
        <w:rPr>
          <w:rStyle w:val="29"/>
          <w:rFonts w:hint="eastAsia" w:ascii="黑体" w:hAnsi="黑体" w:eastAsia="黑体"/>
          <w:sz w:val="30"/>
          <w:szCs w:val="30"/>
        </w:rPr>
        <w:t>法律责任</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9"/>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8"/>
      <w:bookmarkStart w:id="151" w:name="OLE_LINK17"/>
      <w:bookmarkStart w:id="152" w:name="OLE_LINK16"/>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4"/>
        <w:shd w:val="clear" w:color="auto" w:fill="FFFFFF"/>
        <w:adjustRightInd w:val="0"/>
        <w:snapToGrid w:val="0"/>
        <w:spacing w:before="0" w:beforeAutospacing="0" w:after="0" w:afterAutospacing="0" w:line="560" w:lineRule="exact"/>
        <w:ind w:firstLine="482" w:firstLineChars="200"/>
        <w:jc w:val="both"/>
        <w:rPr>
          <w:rStyle w:val="29"/>
          <w:rFonts w:ascii="仿宋_GB2312" w:hAnsi="微软雅黑" w:eastAsia="仿宋_GB2312"/>
          <w:sz w:val="24"/>
          <w:szCs w:val="24"/>
        </w:rPr>
      </w:pPr>
      <w:r>
        <w:rPr>
          <w:rStyle w:val="29"/>
          <w:rFonts w:hint="eastAsia" w:ascii="仿宋_GB2312" w:hAnsi="微软雅黑" w:eastAsia="仿宋_GB2312"/>
          <w:sz w:val="24"/>
          <w:szCs w:val="24"/>
        </w:rPr>
        <w:t>　</w:t>
      </w:r>
    </w:p>
    <w:p>
      <w:pPr>
        <w:pStyle w:val="24"/>
        <w:shd w:val="clear" w:color="auto" w:fill="FFFFFF"/>
        <w:adjustRightInd w:val="0"/>
        <w:snapToGrid w:val="0"/>
        <w:spacing w:before="0" w:beforeAutospacing="0" w:after="0" w:afterAutospacing="0" w:line="560" w:lineRule="exact"/>
        <w:jc w:val="center"/>
        <w:rPr>
          <w:rStyle w:val="29"/>
          <w:rFonts w:ascii="黑体" w:hAnsi="黑体" w:eastAsia="黑体"/>
          <w:sz w:val="24"/>
          <w:szCs w:val="24"/>
        </w:rPr>
      </w:pPr>
      <w:r>
        <w:rPr>
          <w:rStyle w:val="29"/>
          <w:rFonts w:hint="eastAsia" w:ascii="黑体" w:hAnsi="黑体" w:eastAsia="黑体"/>
          <w:sz w:val="24"/>
          <w:szCs w:val="24"/>
        </w:rPr>
        <w:t xml:space="preserve">第七章 </w:t>
      </w:r>
      <w:r>
        <w:rPr>
          <w:rStyle w:val="29"/>
          <w:rFonts w:hint="eastAsia" w:ascii="微软雅黑" w:hAnsi="微软雅黑" w:eastAsia="黑体"/>
          <w:sz w:val="24"/>
          <w:szCs w:val="24"/>
        </w:rPr>
        <w:t> </w:t>
      </w:r>
      <w:r>
        <w:rPr>
          <w:rStyle w:val="29"/>
          <w:rFonts w:hint="eastAsia" w:ascii="黑体" w:hAnsi="黑体" w:eastAsia="黑体"/>
          <w:sz w:val="24"/>
          <w:szCs w:val="24"/>
        </w:rPr>
        <w:t>附则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2761CB9B"/>
    <w:multiLevelType w:val="singleLevel"/>
    <w:tmpl w:val="2761CB9B"/>
    <w:lvl w:ilvl="0" w:tentative="0">
      <w:start w:val="1"/>
      <w:numFmt w:val="chineseCounting"/>
      <w:suff w:val="nothing"/>
      <w:lvlText w:val="%1、"/>
      <w:lvlJc w:val="left"/>
      <w:rPr>
        <w:rFonts w:hint="eastAsia"/>
      </w:rPr>
    </w:lvl>
  </w:abstractNum>
  <w:abstractNum w:abstractNumId="3">
    <w:nsid w:val="62CC7D63"/>
    <w:multiLevelType w:val="singleLevel"/>
    <w:tmpl w:val="62CC7D63"/>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156352C"/>
    <w:rsid w:val="023A4BFB"/>
    <w:rsid w:val="02702D13"/>
    <w:rsid w:val="027E6FC9"/>
    <w:rsid w:val="02EB0F66"/>
    <w:rsid w:val="030B1590"/>
    <w:rsid w:val="03164992"/>
    <w:rsid w:val="033B177D"/>
    <w:rsid w:val="03667C72"/>
    <w:rsid w:val="03A01301"/>
    <w:rsid w:val="03A2514E"/>
    <w:rsid w:val="03B31109"/>
    <w:rsid w:val="03B66375"/>
    <w:rsid w:val="03B86720"/>
    <w:rsid w:val="0432311F"/>
    <w:rsid w:val="04446205"/>
    <w:rsid w:val="04910E13"/>
    <w:rsid w:val="04B844FD"/>
    <w:rsid w:val="04E55E3A"/>
    <w:rsid w:val="04FC43EA"/>
    <w:rsid w:val="055A508B"/>
    <w:rsid w:val="055F6389"/>
    <w:rsid w:val="05BE78F1"/>
    <w:rsid w:val="05E05ABA"/>
    <w:rsid w:val="06A05249"/>
    <w:rsid w:val="06A411DD"/>
    <w:rsid w:val="07247C28"/>
    <w:rsid w:val="073154DA"/>
    <w:rsid w:val="07D4164E"/>
    <w:rsid w:val="08CE609D"/>
    <w:rsid w:val="09296F01"/>
    <w:rsid w:val="092E1276"/>
    <w:rsid w:val="09564F15"/>
    <w:rsid w:val="09A84CAA"/>
    <w:rsid w:val="09AC2920"/>
    <w:rsid w:val="0A4546CD"/>
    <w:rsid w:val="0A9D2C05"/>
    <w:rsid w:val="0B0E131B"/>
    <w:rsid w:val="0B381EF4"/>
    <w:rsid w:val="0B6B22C9"/>
    <w:rsid w:val="0C5D773D"/>
    <w:rsid w:val="0CA710DF"/>
    <w:rsid w:val="0D294166"/>
    <w:rsid w:val="0D7754CF"/>
    <w:rsid w:val="0D7C07BE"/>
    <w:rsid w:val="0D7E2A6A"/>
    <w:rsid w:val="0DA16FB4"/>
    <w:rsid w:val="0DAD78C9"/>
    <w:rsid w:val="0DF465A6"/>
    <w:rsid w:val="0E2C58F9"/>
    <w:rsid w:val="0E7E3960"/>
    <w:rsid w:val="0E903DF5"/>
    <w:rsid w:val="0ECE2C8D"/>
    <w:rsid w:val="0F20786F"/>
    <w:rsid w:val="0F2C7FC2"/>
    <w:rsid w:val="0F587009"/>
    <w:rsid w:val="0FD1712A"/>
    <w:rsid w:val="107556EE"/>
    <w:rsid w:val="10A328AC"/>
    <w:rsid w:val="10B85C94"/>
    <w:rsid w:val="11097CFF"/>
    <w:rsid w:val="110A7E8F"/>
    <w:rsid w:val="11725165"/>
    <w:rsid w:val="11916802"/>
    <w:rsid w:val="11A93BAF"/>
    <w:rsid w:val="11E44B84"/>
    <w:rsid w:val="12A869B3"/>
    <w:rsid w:val="12DA0610"/>
    <w:rsid w:val="13085987"/>
    <w:rsid w:val="13C92283"/>
    <w:rsid w:val="14092680"/>
    <w:rsid w:val="143811B7"/>
    <w:rsid w:val="143F60A1"/>
    <w:rsid w:val="14863CD0"/>
    <w:rsid w:val="14D709D0"/>
    <w:rsid w:val="14DC7D94"/>
    <w:rsid w:val="14E1184E"/>
    <w:rsid w:val="155618F4"/>
    <w:rsid w:val="15973CBB"/>
    <w:rsid w:val="16192806"/>
    <w:rsid w:val="16225734"/>
    <w:rsid w:val="162437A1"/>
    <w:rsid w:val="162C38CF"/>
    <w:rsid w:val="168023D9"/>
    <w:rsid w:val="16C17241"/>
    <w:rsid w:val="16C805D0"/>
    <w:rsid w:val="16F21AF1"/>
    <w:rsid w:val="17252284"/>
    <w:rsid w:val="175D4E15"/>
    <w:rsid w:val="177B58CD"/>
    <w:rsid w:val="17A032FB"/>
    <w:rsid w:val="17B1375A"/>
    <w:rsid w:val="18020BC4"/>
    <w:rsid w:val="180513B0"/>
    <w:rsid w:val="18057602"/>
    <w:rsid w:val="180E64B6"/>
    <w:rsid w:val="18B051AF"/>
    <w:rsid w:val="18D05E62"/>
    <w:rsid w:val="18E70052"/>
    <w:rsid w:val="191F64A1"/>
    <w:rsid w:val="19254BEF"/>
    <w:rsid w:val="19464AA9"/>
    <w:rsid w:val="19466124"/>
    <w:rsid w:val="19836A30"/>
    <w:rsid w:val="19D43730"/>
    <w:rsid w:val="19DC3498"/>
    <w:rsid w:val="19FE255B"/>
    <w:rsid w:val="1A07319C"/>
    <w:rsid w:val="1A33516B"/>
    <w:rsid w:val="1A361CF4"/>
    <w:rsid w:val="1A393593"/>
    <w:rsid w:val="1A954C6D"/>
    <w:rsid w:val="1B4A1EFB"/>
    <w:rsid w:val="1B4F4CC3"/>
    <w:rsid w:val="1B75684C"/>
    <w:rsid w:val="1B7570E3"/>
    <w:rsid w:val="1BA211E7"/>
    <w:rsid w:val="1C8651B5"/>
    <w:rsid w:val="1CEB14BC"/>
    <w:rsid w:val="1CF71C0F"/>
    <w:rsid w:val="1D1A4E10"/>
    <w:rsid w:val="1D28001A"/>
    <w:rsid w:val="1D862F93"/>
    <w:rsid w:val="1D8B67FB"/>
    <w:rsid w:val="1DD65CC8"/>
    <w:rsid w:val="1E116D00"/>
    <w:rsid w:val="1E2D6CC4"/>
    <w:rsid w:val="1ED32208"/>
    <w:rsid w:val="1ED57D2E"/>
    <w:rsid w:val="1F025BBE"/>
    <w:rsid w:val="1F3802BD"/>
    <w:rsid w:val="1FAD4807"/>
    <w:rsid w:val="1FD03D76"/>
    <w:rsid w:val="1FF40688"/>
    <w:rsid w:val="20020FF7"/>
    <w:rsid w:val="201077AA"/>
    <w:rsid w:val="203877A5"/>
    <w:rsid w:val="20670E5A"/>
    <w:rsid w:val="20895274"/>
    <w:rsid w:val="20E56222"/>
    <w:rsid w:val="20EB3EDD"/>
    <w:rsid w:val="20F52909"/>
    <w:rsid w:val="210F504D"/>
    <w:rsid w:val="214E2D29"/>
    <w:rsid w:val="2164183D"/>
    <w:rsid w:val="21A428FD"/>
    <w:rsid w:val="21A96154"/>
    <w:rsid w:val="21AB2FC8"/>
    <w:rsid w:val="223905D4"/>
    <w:rsid w:val="228869AA"/>
    <w:rsid w:val="22C22324"/>
    <w:rsid w:val="22CC31F6"/>
    <w:rsid w:val="22D95913"/>
    <w:rsid w:val="23294AEC"/>
    <w:rsid w:val="23567244"/>
    <w:rsid w:val="236513B9"/>
    <w:rsid w:val="238910E7"/>
    <w:rsid w:val="23C10881"/>
    <w:rsid w:val="23CD191B"/>
    <w:rsid w:val="243674C1"/>
    <w:rsid w:val="243F3E9B"/>
    <w:rsid w:val="245060A9"/>
    <w:rsid w:val="24961D0D"/>
    <w:rsid w:val="24EE3E19"/>
    <w:rsid w:val="25900E53"/>
    <w:rsid w:val="25F72C80"/>
    <w:rsid w:val="261507FA"/>
    <w:rsid w:val="26566759"/>
    <w:rsid w:val="26997893"/>
    <w:rsid w:val="269E134D"/>
    <w:rsid w:val="26EA27E4"/>
    <w:rsid w:val="27225ADA"/>
    <w:rsid w:val="27717DCB"/>
    <w:rsid w:val="281D1648"/>
    <w:rsid w:val="283261F1"/>
    <w:rsid w:val="28574F87"/>
    <w:rsid w:val="28AF482A"/>
    <w:rsid w:val="291D580A"/>
    <w:rsid w:val="29674BDA"/>
    <w:rsid w:val="2973261D"/>
    <w:rsid w:val="297E0FC2"/>
    <w:rsid w:val="29831EC9"/>
    <w:rsid w:val="29913DEF"/>
    <w:rsid w:val="29B44350"/>
    <w:rsid w:val="2A377AEF"/>
    <w:rsid w:val="2A677CA8"/>
    <w:rsid w:val="2ADF5772"/>
    <w:rsid w:val="2B6B6C58"/>
    <w:rsid w:val="2B8D373E"/>
    <w:rsid w:val="2B9343A5"/>
    <w:rsid w:val="2B9D7E25"/>
    <w:rsid w:val="2B9E76FA"/>
    <w:rsid w:val="2BAC0068"/>
    <w:rsid w:val="2BF80131"/>
    <w:rsid w:val="2C231C3E"/>
    <w:rsid w:val="2C43766C"/>
    <w:rsid w:val="2C5007D8"/>
    <w:rsid w:val="2C7C3EDF"/>
    <w:rsid w:val="2CB52F4D"/>
    <w:rsid w:val="2CC82C80"/>
    <w:rsid w:val="2D31750C"/>
    <w:rsid w:val="2D5704A8"/>
    <w:rsid w:val="2DE634B9"/>
    <w:rsid w:val="2E813A2E"/>
    <w:rsid w:val="2E826240"/>
    <w:rsid w:val="2EAE5EA6"/>
    <w:rsid w:val="2EDF550D"/>
    <w:rsid w:val="2EE45D6B"/>
    <w:rsid w:val="2F4F6B3A"/>
    <w:rsid w:val="2F633134"/>
    <w:rsid w:val="2FC516F9"/>
    <w:rsid w:val="30354AD0"/>
    <w:rsid w:val="30403475"/>
    <w:rsid w:val="30B359F5"/>
    <w:rsid w:val="30C91186"/>
    <w:rsid w:val="31344D88"/>
    <w:rsid w:val="31495EDE"/>
    <w:rsid w:val="31921319"/>
    <w:rsid w:val="31BC6863"/>
    <w:rsid w:val="31C205E6"/>
    <w:rsid w:val="31EE13DB"/>
    <w:rsid w:val="320A7897"/>
    <w:rsid w:val="32116E77"/>
    <w:rsid w:val="32B67A1F"/>
    <w:rsid w:val="32BA4FA1"/>
    <w:rsid w:val="32FA2CBE"/>
    <w:rsid w:val="3304078A"/>
    <w:rsid w:val="330B38C7"/>
    <w:rsid w:val="33386686"/>
    <w:rsid w:val="333B788C"/>
    <w:rsid w:val="33400AAD"/>
    <w:rsid w:val="33501C21"/>
    <w:rsid w:val="335214F5"/>
    <w:rsid w:val="336F02F9"/>
    <w:rsid w:val="33833DA5"/>
    <w:rsid w:val="338B35BF"/>
    <w:rsid w:val="33DF6B01"/>
    <w:rsid w:val="34092461"/>
    <w:rsid w:val="34525525"/>
    <w:rsid w:val="34675474"/>
    <w:rsid w:val="347B2CCE"/>
    <w:rsid w:val="34EF42C7"/>
    <w:rsid w:val="35066A3B"/>
    <w:rsid w:val="35941F30"/>
    <w:rsid w:val="35E04617"/>
    <w:rsid w:val="35EA3087"/>
    <w:rsid w:val="35F25212"/>
    <w:rsid w:val="360C62D3"/>
    <w:rsid w:val="365657D0"/>
    <w:rsid w:val="36607CEC"/>
    <w:rsid w:val="369B31B3"/>
    <w:rsid w:val="36A302BA"/>
    <w:rsid w:val="36A93B22"/>
    <w:rsid w:val="36AA33F6"/>
    <w:rsid w:val="36BD75CE"/>
    <w:rsid w:val="36EF1694"/>
    <w:rsid w:val="37164F30"/>
    <w:rsid w:val="37503F9E"/>
    <w:rsid w:val="376712E7"/>
    <w:rsid w:val="37C30C14"/>
    <w:rsid w:val="37E33064"/>
    <w:rsid w:val="38451629"/>
    <w:rsid w:val="38455ACD"/>
    <w:rsid w:val="385B0E4C"/>
    <w:rsid w:val="388443D5"/>
    <w:rsid w:val="38FB3C73"/>
    <w:rsid w:val="390659FB"/>
    <w:rsid w:val="390D1E7C"/>
    <w:rsid w:val="399F120C"/>
    <w:rsid w:val="39BD1693"/>
    <w:rsid w:val="39D013C6"/>
    <w:rsid w:val="39F23A32"/>
    <w:rsid w:val="3A014C0D"/>
    <w:rsid w:val="3A3556CD"/>
    <w:rsid w:val="3A3D3FD1"/>
    <w:rsid w:val="3B6A356D"/>
    <w:rsid w:val="3B7F0DA7"/>
    <w:rsid w:val="3BAB4838"/>
    <w:rsid w:val="3BF1493F"/>
    <w:rsid w:val="3C2E5433"/>
    <w:rsid w:val="3C474EBB"/>
    <w:rsid w:val="3C6B7ACC"/>
    <w:rsid w:val="3C7C3A87"/>
    <w:rsid w:val="3E2E563A"/>
    <w:rsid w:val="3E547D6D"/>
    <w:rsid w:val="3E9F0F73"/>
    <w:rsid w:val="3EA52FF6"/>
    <w:rsid w:val="3EE50F86"/>
    <w:rsid w:val="3EF67B21"/>
    <w:rsid w:val="3EFC727D"/>
    <w:rsid w:val="3F0E4CF0"/>
    <w:rsid w:val="3F2969DF"/>
    <w:rsid w:val="3F646DBC"/>
    <w:rsid w:val="41FA170B"/>
    <w:rsid w:val="421A1D78"/>
    <w:rsid w:val="42402E61"/>
    <w:rsid w:val="42980EEF"/>
    <w:rsid w:val="42E67EAC"/>
    <w:rsid w:val="43001B9C"/>
    <w:rsid w:val="43301127"/>
    <w:rsid w:val="43672D9B"/>
    <w:rsid w:val="439C056B"/>
    <w:rsid w:val="43D9531B"/>
    <w:rsid w:val="442C18EF"/>
    <w:rsid w:val="44E0509A"/>
    <w:rsid w:val="450C5FC9"/>
    <w:rsid w:val="455B692F"/>
    <w:rsid w:val="457774F2"/>
    <w:rsid w:val="45C94FEF"/>
    <w:rsid w:val="45E22BAD"/>
    <w:rsid w:val="462D2409"/>
    <w:rsid w:val="463D2F25"/>
    <w:rsid w:val="465F5FAB"/>
    <w:rsid w:val="47462CC7"/>
    <w:rsid w:val="477F61D9"/>
    <w:rsid w:val="47B95B8F"/>
    <w:rsid w:val="47C1249E"/>
    <w:rsid w:val="47C702AC"/>
    <w:rsid w:val="481B4427"/>
    <w:rsid w:val="4828061F"/>
    <w:rsid w:val="485756B9"/>
    <w:rsid w:val="485D29BF"/>
    <w:rsid w:val="48835154"/>
    <w:rsid w:val="48E00EFA"/>
    <w:rsid w:val="4939003C"/>
    <w:rsid w:val="493F3E72"/>
    <w:rsid w:val="494871CB"/>
    <w:rsid w:val="496E4757"/>
    <w:rsid w:val="49A34401"/>
    <w:rsid w:val="49E60792"/>
    <w:rsid w:val="4A010EEA"/>
    <w:rsid w:val="4AAA17BF"/>
    <w:rsid w:val="4AFB201B"/>
    <w:rsid w:val="4B054C48"/>
    <w:rsid w:val="4B1B446B"/>
    <w:rsid w:val="4B9304A5"/>
    <w:rsid w:val="4BA91521"/>
    <w:rsid w:val="4C2A2BB8"/>
    <w:rsid w:val="4C5939BE"/>
    <w:rsid w:val="4C76404F"/>
    <w:rsid w:val="4CAC2800"/>
    <w:rsid w:val="4CFB5EE3"/>
    <w:rsid w:val="4D263AF9"/>
    <w:rsid w:val="4D4B074A"/>
    <w:rsid w:val="4E151645"/>
    <w:rsid w:val="4ECC264C"/>
    <w:rsid w:val="4EF26D89"/>
    <w:rsid w:val="4FC205E1"/>
    <w:rsid w:val="4FC926E8"/>
    <w:rsid w:val="4FE45773"/>
    <w:rsid w:val="50175B49"/>
    <w:rsid w:val="501871CB"/>
    <w:rsid w:val="501E2A33"/>
    <w:rsid w:val="502C74D1"/>
    <w:rsid w:val="507C6DB1"/>
    <w:rsid w:val="50F02837"/>
    <w:rsid w:val="510A2FB8"/>
    <w:rsid w:val="516F3CBE"/>
    <w:rsid w:val="517C5E2B"/>
    <w:rsid w:val="517C782D"/>
    <w:rsid w:val="518A5EA7"/>
    <w:rsid w:val="51C25640"/>
    <w:rsid w:val="51C639B2"/>
    <w:rsid w:val="51F17F8E"/>
    <w:rsid w:val="5234643D"/>
    <w:rsid w:val="52823DEE"/>
    <w:rsid w:val="52EC4B4A"/>
    <w:rsid w:val="53081779"/>
    <w:rsid w:val="53510242"/>
    <w:rsid w:val="536F17F8"/>
    <w:rsid w:val="54102DA0"/>
    <w:rsid w:val="546926EB"/>
    <w:rsid w:val="54745318"/>
    <w:rsid w:val="54B565B4"/>
    <w:rsid w:val="54BC6CBF"/>
    <w:rsid w:val="54D2203E"/>
    <w:rsid w:val="54DE6C35"/>
    <w:rsid w:val="54FA3343"/>
    <w:rsid w:val="551663CF"/>
    <w:rsid w:val="5517751A"/>
    <w:rsid w:val="551E7032"/>
    <w:rsid w:val="55436A98"/>
    <w:rsid w:val="55524F2D"/>
    <w:rsid w:val="56194C24"/>
    <w:rsid w:val="564725B8"/>
    <w:rsid w:val="566B274A"/>
    <w:rsid w:val="56F05266"/>
    <w:rsid w:val="57174680"/>
    <w:rsid w:val="57350A15"/>
    <w:rsid w:val="574A05B2"/>
    <w:rsid w:val="575168F3"/>
    <w:rsid w:val="577E025B"/>
    <w:rsid w:val="57931A9B"/>
    <w:rsid w:val="57AC6B77"/>
    <w:rsid w:val="580C3AB9"/>
    <w:rsid w:val="58732C56"/>
    <w:rsid w:val="58D02D39"/>
    <w:rsid w:val="594D5E25"/>
    <w:rsid w:val="59670749"/>
    <w:rsid w:val="59CC52AE"/>
    <w:rsid w:val="59E14756"/>
    <w:rsid w:val="59FD3647"/>
    <w:rsid w:val="5A7E4E4D"/>
    <w:rsid w:val="5A876F07"/>
    <w:rsid w:val="5A9009D2"/>
    <w:rsid w:val="5AB55191"/>
    <w:rsid w:val="5ABA15AB"/>
    <w:rsid w:val="5B152C85"/>
    <w:rsid w:val="5B3A2360"/>
    <w:rsid w:val="5B871DD5"/>
    <w:rsid w:val="5BC70423"/>
    <w:rsid w:val="5BFB2CB6"/>
    <w:rsid w:val="5C7D31D8"/>
    <w:rsid w:val="5C957923"/>
    <w:rsid w:val="5CA42F27"/>
    <w:rsid w:val="5CDC0F56"/>
    <w:rsid w:val="5CE11CAD"/>
    <w:rsid w:val="5D0F5ABF"/>
    <w:rsid w:val="5D101956"/>
    <w:rsid w:val="5DC32E6C"/>
    <w:rsid w:val="5DC76880"/>
    <w:rsid w:val="5DE021E2"/>
    <w:rsid w:val="5DFA5BF3"/>
    <w:rsid w:val="5E545B85"/>
    <w:rsid w:val="5E6C12B6"/>
    <w:rsid w:val="5EC40C4A"/>
    <w:rsid w:val="5F765DB0"/>
    <w:rsid w:val="5F942D12"/>
    <w:rsid w:val="60F35816"/>
    <w:rsid w:val="610C29F3"/>
    <w:rsid w:val="611E0D6E"/>
    <w:rsid w:val="613D4CE3"/>
    <w:rsid w:val="622A6C63"/>
    <w:rsid w:val="623D10A6"/>
    <w:rsid w:val="62EF21DB"/>
    <w:rsid w:val="631D68AE"/>
    <w:rsid w:val="632D6F40"/>
    <w:rsid w:val="635F53E5"/>
    <w:rsid w:val="63A728E8"/>
    <w:rsid w:val="63AF1D1A"/>
    <w:rsid w:val="63F510AA"/>
    <w:rsid w:val="63F773CC"/>
    <w:rsid w:val="648E32AE"/>
    <w:rsid w:val="64A06B15"/>
    <w:rsid w:val="64BC084D"/>
    <w:rsid w:val="64D252BD"/>
    <w:rsid w:val="64E77440"/>
    <w:rsid w:val="65000502"/>
    <w:rsid w:val="65363F24"/>
    <w:rsid w:val="65412DFD"/>
    <w:rsid w:val="65426D6C"/>
    <w:rsid w:val="65444892"/>
    <w:rsid w:val="657F52AC"/>
    <w:rsid w:val="65B14293"/>
    <w:rsid w:val="65C23A09"/>
    <w:rsid w:val="65ED3907"/>
    <w:rsid w:val="663742F4"/>
    <w:rsid w:val="663A01C8"/>
    <w:rsid w:val="66703465"/>
    <w:rsid w:val="668B2466"/>
    <w:rsid w:val="66DB439B"/>
    <w:rsid w:val="66E003B2"/>
    <w:rsid w:val="673B7F17"/>
    <w:rsid w:val="67971B84"/>
    <w:rsid w:val="6817729A"/>
    <w:rsid w:val="685F19E3"/>
    <w:rsid w:val="699E695C"/>
    <w:rsid w:val="69BF7E12"/>
    <w:rsid w:val="6A22716C"/>
    <w:rsid w:val="6A407083"/>
    <w:rsid w:val="6A4470E3"/>
    <w:rsid w:val="6AB204F0"/>
    <w:rsid w:val="6AE14931"/>
    <w:rsid w:val="6B2F1B41"/>
    <w:rsid w:val="6B4078AA"/>
    <w:rsid w:val="6B5E1C10"/>
    <w:rsid w:val="6B8C2AEF"/>
    <w:rsid w:val="6B9C09D1"/>
    <w:rsid w:val="6BAD1411"/>
    <w:rsid w:val="6BC86475"/>
    <w:rsid w:val="6C0D40F8"/>
    <w:rsid w:val="6C2E4C0D"/>
    <w:rsid w:val="6D394EF9"/>
    <w:rsid w:val="6DA6798D"/>
    <w:rsid w:val="6DED4397"/>
    <w:rsid w:val="6DF40E20"/>
    <w:rsid w:val="6E313E22"/>
    <w:rsid w:val="6EAD16FA"/>
    <w:rsid w:val="6EB72579"/>
    <w:rsid w:val="6EEA55F9"/>
    <w:rsid w:val="6F370FC4"/>
    <w:rsid w:val="6F420D0F"/>
    <w:rsid w:val="6FAC19B2"/>
    <w:rsid w:val="6FB2689C"/>
    <w:rsid w:val="6FC0720B"/>
    <w:rsid w:val="701B5C41"/>
    <w:rsid w:val="707B3132"/>
    <w:rsid w:val="70967F6C"/>
    <w:rsid w:val="70EC5DDE"/>
    <w:rsid w:val="71091718"/>
    <w:rsid w:val="71587B7E"/>
    <w:rsid w:val="71816E6E"/>
    <w:rsid w:val="72192C03"/>
    <w:rsid w:val="7249173A"/>
    <w:rsid w:val="7276222A"/>
    <w:rsid w:val="73197CE0"/>
    <w:rsid w:val="732A1BFA"/>
    <w:rsid w:val="73344FDD"/>
    <w:rsid w:val="73616E39"/>
    <w:rsid w:val="73C0694D"/>
    <w:rsid w:val="74404DBF"/>
    <w:rsid w:val="74A54B7B"/>
    <w:rsid w:val="751B270C"/>
    <w:rsid w:val="7532635D"/>
    <w:rsid w:val="75395703"/>
    <w:rsid w:val="756845CD"/>
    <w:rsid w:val="75D66156"/>
    <w:rsid w:val="75DC28C5"/>
    <w:rsid w:val="7601057E"/>
    <w:rsid w:val="764364A0"/>
    <w:rsid w:val="7682521B"/>
    <w:rsid w:val="768C17FB"/>
    <w:rsid w:val="76E66842"/>
    <w:rsid w:val="770B16B4"/>
    <w:rsid w:val="774B1AB0"/>
    <w:rsid w:val="77722493"/>
    <w:rsid w:val="77A25449"/>
    <w:rsid w:val="77C93AFF"/>
    <w:rsid w:val="781529D2"/>
    <w:rsid w:val="783267CC"/>
    <w:rsid w:val="783E1615"/>
    <w:rsid w:val="786D5A56"/>
    <w:rsid w:val="78EE4DE9"/>
    <w:rsid w:val="79002FDD"/>
    <w:rsid w:val="790E7239"/>
    <w:rsid w:val="790F7714"/>
    <w:rsid w:val="798474FC"/>
    <w:rsid w:val="7A2C2B5D"/>
    <w:rsid w:val="7A3C397B"/>
    <w:rsid w:val="7A675A03"/>
    <w:rsid w:val="7AA17C39"/>
    <w:rsid w:val="7ADF16C7"/>
    <w:rsid w:val="7AE123AE"/>
    <w:rsid w:val="7B247399"/>
    <w:rsid w:val="7B424F78"/>
    <w:rsid w:val="7C684EB3"/>
    <w:rsid w:val="7C88056F"/>
    <w:rsid w:val="7CBB28FC"/>
    <w:rsid w:val="7CC85951"/>
    <w:rsid w:val="7CDB38D7"/>
    <w:rsid w:val="7CEA1D6C"/>
    <w:rsid w:val="7D1D3EEF"/>
    <w:rsid w:val="7D2106AF"/>
    <w:rsid w:val="7D2D1C58"/>
    <w:rsid w:val="7D2D2186"/>
    <w:rsid w:val="7E1D3A7B"/>
    <w:rsid w:val="7E54777A"/>
    <w:rsid w:val="7E825C71"/>
    <w:rsid w:val="7EAC5BC9"/>
    <w:rsid w:val="7EBE525E"/>
    <w:rsid w:val="7EE8612B"/>
    <w:rsid w:val="7EFE77F8"/>
    <w:rsid w:val="7F0D1D41"/>
    <w:rsid w:val="7F6041C6"/>
    <w:rsid w:val="7F7B7750"/>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4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4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8">
    <w:name w:val="heading 3"/>
    <w:basedOn w:val="1"/>
    <w:next w:val="1"/>
    <w:link w:val="50"/>
    <w:qFormat/>
    <w:uiPriority w:val="9"/>
    <w:pPr>
      <w:keepNext/>
      <w:keepLines/>
      <w:spacing w:before="260" w:after="260" w:line="416" w:lineRule="auto"/>
      <w:outlineLvl w:val="2"/>
    </w:pPr>
    <w:rPr>
      <w:b/>
      <w:bCs/>
      <w:sz w:val="32"/>
      <w:szCs w:val="32"/>
    </w:rPr>
  </w:style>
  <w:style w:type="paragraph" w:styleId="9">
    <w:name w:val="heading 4"/>
    <w:basedOn w:val="1"/>
    <w:next w:val="1"/>
    <w:link w:val="51"/>
    <w:qFormat/>
    <w:uiPriority w:val="9"/>
    <w:pPr>
      <w:keepNext/>
      <w:keepLines/>
      <w:spacing w:before="280" w:after="290" w:line="376" w:lineRule="auto"/>
      <w:outlineLvl w:val="3"/>
    </w:pPr>
    <w:rPr>
      <w:rFonts w:ascii="Cambria" w:hAnsi="Cambria" w:eastAsia="宋体" w:cs="Times New Roman"/>
      <w:b/>
      <w:bCs/>
      <w:szCs w:val="28"/>
    </w:rPr>
  </w:style>
  <w:style w:type="paragraph" w:styleId="10">
    <w:name w:val="heading 5"/>
    <w:basedOn w:val="1"/>
    <w:next w:val="1"/>
    <w:link w:val="52"/>
    <w:qFormat/>
    <w:uiPriority w:val="9"/>
    <w:pPr>
      <w:keepNext/>
      <w:keepLines/>
      <w:spacing w:before="280" w:after="290" w:line="376" w:lineRule="auto"/>
      <w:outlineLvl w:val="4"/>
    </w:pPr>
    <w:rPr>
      <w:b/>
      <w:bCs/>
      <w:szCs w:val="28"/>
    </w:rPr>
  </w:style>
  <w:style w:type="paragraph" w:styleId="11">
    <w:name w:val="heading 6"/>
    <w:basedOn w:val="1"/>
    <w:next w:val="1"/>
    <w:link w:val="53"/>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2">
    <w:name w:val="heading 7"/>
    <w:basedOn w:val="1"/>
    <w:next w:val="1"/>
    <w:link w:val="54"/>
    <w:qFormat/>
    <w:uiPriority w:val="9"/>
    <w:pPr>
      <w:keepNext/>
      <w:keepLines/>
      <w:spacing w:before="240" w:after="64" w:line="320" w:lineRule="auto"/>
      <w:outlineLvl w:val="6"/>
    </w:pPr>
    <w:rPr>
      <w:b/>
      <w:bCs/>
      <w:sz w:val="24"/>
      <w:szCs w:val="24"/>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7"/>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rPr>
      <w:rFonts w:ascii="Times New Roman" w:hAnsi="Times New Roman" w:cs="Times New Roman"/>
      <w:szCs w:val="20"/>
    </w:rPr>
  </w:style>
  <w:style w:type="paragraph" w:styleId="14">
    <w:name w:val="annotation text"/>
    <w:basedOn w:val="1"/>
    <w:qFormat/>
    <w:uiPriority w:val="0"/>
    <w:pPr>
      <w:jc w:val="left"/>
    </w:pPr>
    <w:rPr>
      <w:kern w:val="0"/>
      <w:sz w:val="21"/>
      <w:szCs w:val="21"/>
    </w:rPr>
  </w:style>
  <w:style w:type="paragraph" w:styleId="15">
    <w:name w:val="index 4"/>
    <w:basedOn w:val="1"/>
    <w:next w:val="1"/>
    <w:qFormat/>
    <w:uiPriority w:val="99"/>
    <w:pPr>
      <w:ind w:left="600" w:leftChars="600"/>
    </w:pPr>
    <w:rPr>
      <w:rFonts w:ascii="Calibri" w:hAnsi="Calibri"/>
      <w:szCs w:val="24"/>
    </w:rPr>
  </w:style>
  <w:style w:type="paragraph" w:styleId="16">
    <w:name w:val="Plain Text"/>
    <w:basedOn w:val="1"/>
    <w:link w:val="55"/>
    <w:qFormat/>
    <w:uiPriority w:val="0"/>
    <w:pPr>
      <w:spacing w:beforeLines="50" w:afterLines="50" w:line="400" w:lineRule="atLeast"/>
    </w:pPr>
    <w:rPr>
      <w:rFonts w:ascii="宋体" w:hAnsi="Courier New"/>
      <w:kern w:val="0"/>
      <w:sz w:val="24"/>
    </w:rPr>
  </w:style>
  <w:style w:type="paragraph" w:styleId="17">
    <w:name w:val="Date"/>
    <w:basedOn w:val="1"/>
    <w:next w:val="1"/>
    <w:link w:val="56"/>
    <w:unhideWhenUsed/>
    <w:qFormat/>
    <w:uiPriority w:val="99"/>
    <w:pPr>
      <w:ind w:left="100" w:leftChars="2500"/>
    </w:pPr>
  </w:style>
  <w:style w:type="paragraph" w:styleId="18">
    <w:name w:val="Balloon Text"/>
    <w:basedOn w:val="1"/>
    <w:link w:val="57"/>
    <w:unhideWhenUsed/>
    <w:qFormat/>
    <w:uiPriority w:val="99"/>
    <w:rPr>
      <w:sz w:val="18"/>
      <w:szCs w:val="18"/>
    </w:rPr>
  </w:style>
  <w:style w:type="paragraph" w:styleId="19">
    <w:name w:val="footer"/>
    <w:basedOn w:val="1"/>
    <w:link w:val="58"/>
    <w:unhideWhenUsed/>
    <w:qFormat/>
    <w:uiPriority w:val="99"/>
    <w:pPr>
      <w:tabs>
        <w:tab w:val="center" w:pos="4153"/>
        <w:tab w:val="right" w:pos="8306"/>
      </w:tabs>
      <w:snapToGrid w:val="0"/>
      <w:jc w:val="left"/>
    </w:pPr>
    <w:rPr>
      <w:sz w:val="18"/>
      <w:szCs w:val="18"/>
    </w:rPr>
  </w:style>
  <w:style w:type="paragraph" w:styleId="20">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5">
    <w:name w:val="Title"/>
    <w:basedOn w:val="1"/>
    <w:next w:val="1"/>
    <w:link w:val="60"/>
    <w:qFormat/>
    <w:uiPriority w:val="10"/>
    <w:pPr>
      <w:spacing w:before="240" w:after="60"/>
      <w:jc w:val="center"/>
      <w:outlineLvl w:val="0"/>
    </w:pPr>
    <w:rPr>
      <w:rFonts w:ascii="Cambria" w:hAnsi="Cambria" w:cs="Times New Roman"/>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0"/>
    <w:rPr>
      <w:b/>
      <w:bCs/>
    </w:rPr>
  </w:style>
  <w:style w:type="character" w:styleId="30">
    <w:name w:val="Hyperlink"/>
    <w:basedOn w:val="28"/>
    <w:unhideWhenUsed/>
    <w:qFormat/>
    <w:uiPriority w:val="99"/>
    <w:rPr>
      <w:color w:val="0000FF"/>
      <w:u w:val="single"/>
    </w:rPr>
  </w:style>
  <w:style w:type="paragraph" w:styleId="31">
    <w:name w:val="List Paragraph"/>
    <w:basedOn w:val="1"/>
    <w:link w:val="63"/>
    <w:qFormat/>
    <w:uiPriority w:val="0"/>
    <w:pPr>
      <w:ind w:firstLine="420" w:firstLineChars="200"/>
    </w:pPr>
    <w:rPr>
      <w:kern w:val="0"/>
    </w:r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7">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1">
    <w:name w:val="标题 2 New"/>
    <w:basedOn w:val="42"/>
    <w:next w:val="42"/>
    <w:qFormat/>
    <w:uiPriority w:val="0"/>
    <w:pPr>
      <w:keepNext/>
      <w:keepLines/>
      <w:spacing w:before="260" w:after="260" w:line="413" w:lineRule="auto"/>
      <w:outlineLvl w:val="1"/>
    </w:pPr>
    <w:rPr>
      <w:rFonts w:ascii="Arial" w:hAnsi="Arial" w:eastAsia="黑体"/>
      <w:b/>
      <w:bCs/>
      <w:sz w:val="32"/>
      <w:szCs w:val="32"/>
    </w:rPr>
  </w:style>
  <w:style w:type="paragraph" w:customStyle="1" w:styleId="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Normal_0"/>
    <w:qFormat/>
    <w:uiPriority w:val="99"/>
    <w:rPr>
      <w:rFonts w:ascii="Calibri" w:hAnsi="Calibri" w:eastAsia="宋体" w:cs="Times New Roman"/>
      <w:sz w:val="24"/>
      <w:szCs w:val="24"/>
      <w:lang w:val="en-US" w:eastAsia="zh-CN" w:bidi="ar-SA"/>
    </w:rPr>
  </w:style>
  <w:style w:type="paragraph" w:customStyle="1" w:styleId="46">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7">
    <w:name w:val="正文文本缩进 Char"/>
    <w:link w:val="3"/>
    <w:qFormat/>
    <w:locked/>
    <w:uiPriority w:val="0"/>
    <w:rPr>
      <w:rFonts w:ascii="宋体" w:hAnsi="Courier New" w:eastAsia="宋体"/>
      <w:spacing w:val="-4"/>
      <w:sz w:val="18"/>
    </w:rPr>
  </w:style>
  <w:style w:type="character" w:customStyle="1" w:styleId="48">
    <w:name w:val="标题 1 Char"/>
    <w:basedOn w:val="28"/>
    <w:link w:val="6"/>
    <w:qFormat/>
    <w:uiPriority w:val="0"/>
    <w:rPr>
      <w:rFonts w:ascii="宋体" w:hAnsi="Arial" w:eastAsia="黑体" w:cs="Times New Roman"/>
      <w:b/>
      <w:bCs/>
      <w:color w:val="000000"/>
      <w:kern w:val="44"/>
      <w:sz w:val="36"/>
      <w:szCs w:val="32"/>
    </w:rPr>
  </w:style>
  <w:style w:type="character" w:customStyle="1" w:styleId="49">
    <w:name w:val="标题 2 Char"/>
    <w:basedOn w:val="28"/>
    <w:link w:val="7"/>
    <w:semiHidden/>
    <w:qFormat/>
    <w:uiPriority w:val="9"/>
    <w:rPr>
      <w:rFonts w:ascii="Cambria" w:hAnsi="Cambria" w:eastAsia="宋体" w:cs="Times New Roman"/>
      <w:b/>
      <w:bCs/>
      <w:sz w:val="32"/>
      <w:szCs w:val="32"/>
    </w:rPr>
  </w:style>
  <w:style w:type="character" w:customStyle="1" w:styleId="50">
    <w:name w:val="标题 3 Char1"/>
    <w:basedOn w:val="28"/>
    <w:link w:val="8"/>
    <w:semiHidden/>
    <w:qFormat/>
    <w:uiPriority w:val="9"/>
    <w:rPr>
      <w:rFonts w:ascii="Times New Roman" w:hAnsi="Times New Roman" w:eastAsia="宋体" w:cs="Times New Roman"/>
      <w:b/>
      <w:bCs/>
      <w:sz w:val="32"/>
      <w:szCs w:val="32"/>
    </w:rPr>
  </w:style>
  <w:style w:type="character" w:customStyle="1" w:styleId="51">
    <w:name w:val="标题 4 Char"/>
    <w:basedOn w:val="28"/>
    <w:link w:val="9"/>
    <w:semiHidden/>
    <w:qFormat/>
    <w:uiPriority w:val="9"/>
    <w:rPr>
      <w:rFonts w:ascii="Cambria" w:hAnsi="Cambria" w:eastAsia="宋体" w:cs="Times New Roman"/>
      <w:b/>
      <w:bCs/>
      <w:sz w:val="28"/>
      <w:szCs w:val="28"/>
    </w:rPr>
  </w:style>
  <w:style w:type="character" w:customStyle="1" w:styleId="52">
    <w:name w:val="标题 5 Char"/>
    <w:basedOn w:val="28"/>
    <w:link w:val="10"/>
    <w:semiHidden/>
    <w:qFormat/>
    <w:uiPriority w:val="9"/>
    <w:rPr>
      <w:rFonts w:ascii="Times New Roman" w:hAnsi="Times New Roman" w:eastAsia="宋体" w:cs="Times New Roman"/>
      <w:b/>
      <w:bCs/>
      <w:sz w:val="28"/>
      <w:szCs w:val="28"/>
    </w:rPr>
  </w:style>
  <w:style w:type="character" w:customStyle="1" w:styleId="53">
    <w:name w:val="标题 6 Char"/>
    <w:basedOn w:val="28"/>
    <w:link w:val="11"/>
    <w:semiHidden/>
    <w:qFormat/>
    <w:uiPriority w:val="9"/>
    <w:rPr>
      <w:rFonts w:ascii="Cambria" w:hAnsi="Cambria" w:eastAsia="宋体" w:cs="Times New Roman"/>
      <w:b/>
      <w:bCs/>
      <w:sz w:val="24"/>
      <w:szCs w:val="24"/>
    </w:rPr>
  </w:style>
  <w:style w:type="character" w:customStyle="1" w:styleId="54">
    <w:name w:val="标题 7 Char"/>
    <w:basedOn w:val="28"/>
    <w:link w:val="12"/>
    <w:semiHidden/>
    <w:qFormat/>
    <w:uiPriority w:val="9"/>
    <w:rPr>
      <w:rFonts w:ascii="Times New Roman" w:hAnsi="Times New Roman" w:eastAsia="宋体" w:cs="Times New Roman"/>
      <w:b/>
      <w:bCs/>
      <w:sz w:val="24"/>
      <w:szCs w:val="24"/>
    </w:rPr>
  </w:style>
  <w:style w:type="character" w:customStyle="1" w:styleId="55">
    <w:name w:val="纯文本 Char1"/>
    <w:link w:val="16"/>
    <w:qFormat/>
    <w:uiPriority w:val="0"/>
    <w:rPr>
      <w:rFonts w:ascii="宋体" w:hAnsi="Courier New" w:eastAsia="宋体"/>
      <w:sz w:val="24"/>
    </w:rPr>
  </w:style>
  <w:style w:type="character" w:customStyle="1" w:styleId="56">
    <w:name w:val="日期 Char"/>
    <w:basedOn w:val="28"/>
    <w:link w:val="17"/>
    <w:semiHidden/>
    <w:qFormat/>
    <w:uiPriority w:val="99"/>
    <w:rPr>
      <w:rFonts w:ascii="Times New Roman" w:hAnsi="Times New Roman" w:eastAsia="宋体" w:cs="Times New Roman"/>
      <w:sz w:val="28"/>
      <w:szCs w:val="20"/>
    </w:rPr>
  </w:style>
  <w:style w:type="character" w:customStyle="1" w:styleId="57">
    <w:name w:val="批注框文本 Char"/>
    <w:basedOn w:val="28"/>
    <w:link w:val="18"/>
    <w:semiHidden/>
    <w:qFormat/>
    <w:uiPriority w:val="99"/>
    <w:rPr>
      <w:rFonts w:ascii="Times New Roman" w:hAnsi="Times New Roman" w:eastAsia="宋体" w:cs="Times New Roman"/>
      <w:sz w:val="18"/>
      <w:szCs w:val="18"/>
    </w:rPr>
  </w:style>
  <w:style w:type="character" w:customStyle="1" w:styleId="58">
    <w:name w:val="页脚 Char"/>
    <w:basedOn w:val="28"/>
    <w:link w:val="19"/>
    <w:qFormat/>
    <w:uiPriority w:val="99"/>
    <w:rPr>
      <w:rFonts w:ascii="Times New Roman" w:hAnsi="Times New Roman" w:eastAsia="宋体" w:cs="Times New Roman"/>
      <w:sz w:val="18"/>
      <w:szCs w:val="18"/>
    </w:rPr>
  </w:style>
  <w:style w:type="character" w:customStyle="1" w:styleId="59">
    <w:name w:val="页眉 Char"/>
    <w:basedOn w:val="28"/>
    <w:link w:val="20"/>
    <w:semiHidden/>
    <w:qFormat/>
    <w:uiPriority w:val="99"/>
    <w:rPr>
      <w:rFonts w:ascii="Times New Roman" w:hAnsi="Times New Roman" w:eastAsia="宋体" w:cs="Times New Roman"/>
      <w:sz w:val="18"/>
      <w:szCs w:val="18"/>
    </w:rPr>
  </w:style>
  <w:style w:type="character" w:customStyle="1" w:styleId="60">
    <w:name w:val="标题 Char"/>
    <w:basedOn w:val="28"/>
    <w:link w:val="25"/>
    <w:qFormat/>
    <w:uiPriority w:val="10"/>
    <w:rPr>
      <w:rFonts w:ascii="Cambria" w:hAnsi="Cambria" w:eastAsia="宋体" w:cs="Times New Roman"/>
      <w:b/>
      <w:bCs/>
      <w:sz w:val="32"/>
      <w:szCs w:val="32"/>
    </w:rPr>
  </w:style>
  <w:style w:type="character" w:customStyle="1" w:styleId="61">
    <w:name w:val="正文文本缩进 Char1"/>
    <w:basedOn w:val="28"/>
    <w:semiHidden/>
    <w:qFormat/>
    <w:uiPriority w:val="99"/>
    <w:rPr>
      <w:rFonts w:ascii="Times New Roman" w:hAnsi="Times New Roman" w:eastAsia="宋体" w:cs="Times New Roman"/>
      <w:sz w:val="28"/>
      <w:szCs w:val="20"/>
    </w:rPr>
  </w:style>
  <w:style w:type="character" w:customStyle="1" w:styleId="62">
    <w:name w:val="纯文本 Char"/>
    <w:basedOn w:val="28"/>
    <w:semiHidden/>
    <w:qFormat/>
    <w:uiPriority w:val="99"/>
    <w:rPr>
      <w:rFonts w:ascii="宋体" w:hAnsi="Courier New" w:eastAsia="宋体" w:cs="Courier New"/>
      <w:szCs w:val="21"/>
    </w:rPr>
  </w:style>
  <w:style w:type="character" w:customStyle="1" w:styleId="63">
    <w:name w:val="列出段落 Char"/>
    <w:link w:val="31"/>
    <w:qFormat/>
    <w:locked/>
    <w:uiPriority w:val="0"/>
    <w:rPr>
      <w:rFonts w:ascii="Times New Roman" w:hAnsi="Times New Roman" w:eastAsia="宋体" w:cs="Times New Roman"/>
      <w:sz w:val="28"/>
      <w:szCs w:val="20"/>
    </w:rPr>
  </w:style>
  <w:style w:type="character" w:customStyle="1" w:styleId="64">
    <w:name w:val="正文 第五章 中间"/>
    <w:qFormat/>
    <w:uiPriority w:val="0"/>
    <w:rPr>
      <w:b/>
      <w:bCs/>
      <w:color w:val="000000"/>
      <w:sz w:val="32"/>
    </w:rPr>
  </w:style>
  <w:style w:type="character" w:customStyle="1" w:styleId="65">
    <w:name w:val="标题 3 Char"/>
    <w:qFormat/>
    <w:uiPriority w:val="0"/>
    <w:rPr>
      <w:rFonts w:eastAsia="宋体"/>
      <w:b/>
      <w:bCs/>
      <w:kern w:val="2"/>
      <w:sz w:val="32"/>
      <w:szCs w:val="32"/>
      <w:lang w:val="en-US" w:eastAsia="zh-CN" w:bidi="ar-SA"/>
    </w:rPr>
  </w:style>
  <w:style w:type="paragraph" w:customStyle="1" w:styleId="66">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7">
    <w:name w:val="_Style 13"/>
    <w:basedOn w:val="1"/>
    <w:next w:val="31"/>
    <w:qFormat/>
    <w:uiPriority w:val="99"/>
    <w:pPr>
      <w:ind w:firstLine="420" w:firstLineChars="200"/>
    </w:pPr>
  </w:style>
  <w:style w:type="paragraph" w:customStyle="1" w:styleId="68">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50</Pages>
  <Words>20531</Words>
  <Characters>21272</Characters>
  <Lines>158</Lines>
  <Paragraphs>44</Paragraphs>
  <TotalTime>21</TotalTime>
  <ScaleCrop>false</ScaleCrop>
  <LinksUpToDate>false</LinksUpToDate>
  <CharactersWithSpaces>24189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2023-01-10T06:58:16Z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EC2D55065EE9410B8AC07D03BAF4E20B</vt:lpwstr>
  </property>
</Properties>
</file>