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napToGrid w:val="0"/>
          <w:sz w:val="30"/>
          <w:lang w:eastAsia="zh-CN"/>
        </w:rPr>
      </w:pPr>
      <w:r>
        <w:rPr>
          <w:rFonts w:hint="eastAsia" w:eastAsia="仿宋_GB2312"/>
          <w:snapToGrid w:val="0"/>
          <w:sz w:val="30"/>
        </w:rPr>
        <w:t>项目编号：WYGZ</w:t>
      </w:r>
      <w:r>
        <w:rPr>
          <w:rFonts w:hint="eastAsia" w:eastAsia="仿宋_GB2312"/>
          <w:snapToGrid w:val="0"/>
          <w:sz w:val="30"/>
          <w:lang w:eastAsia="zh-CN"/>
        </w:rPr>
        <w:t>2022015</w:t>
      </w: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r>
        <w:rPr>
          <w:rFonts w:ascii="仿宋_GB2312" w:eastAsia="仿宋_GB2312"/>
          <w:sz w:val="52"/>
          <w:szCs w:val="52"/>
        </w:rPr>
        <w:drawing>
          <wp:inline distT="0" distB="0" distL="114300" distR="114300">
            <wp:extent cx="3319145" cy="714375"/>
            <wp:effectExtent l="0" t="0" r="14605" b="9525"/>
            <wp:docPr id="6"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ocuments\Tencent Files\382851414\FileRecv\皖南医学院.jpg"/>
                    <pic:cNvPicPr>
                      <a:picLocks noChangeAspect="1"/>
                    </pic:cNvPicPr>
                  </pic:nvPicPr>
                  <pic:blipFill>
                    <a:blip r:embed="rId5"/>
                    <a:stretch>
                      <a:fillRect/>
                    </a:stretch>
                  </pic:blipFill>
                  <pic:spPr>
                    <a:xfrm>
                      <a:off x="0" y="0"/>
                      <a:ext cx="3319145" cy="714375"/>
                    </a:xfrm>
                    <a:prstGeom prst="rect">
                      <a:avLst/>
                    </a:prstGeom>
                    <a:noFill/>
                    <a:ln>
                      <a:noFill/>
                    </a:ln>
                  </pic:spPr>
                </pic:pic>
              </a:graphicData>
            </a:graphic>
          </wp:inline>
        </w:drawing>
      </w:r>
    </w:p>
    <w:p>
      <w:pPr>
        <w:jc w:val="center"/>
        <w:rPr>
          <w:rFonts w:ascii="华文中宋" w:hAnsi="华文中宋" w:eastAsia="华文中宋"/>
          <w:b/>
          <w:bCs/>
          <w:w w:val="90"/>
          <w:sz w:val="21"/>
          <w:szCs w:val="21"/>
        </w:rPr>
      </w:pPr>
    </w:p>
    <w:p>
      <w:pPr>
        <w:jc w:val="center"/>
        <w:rPr>
          <w:rFonts w:ascii="华文中宋" w:hAnsi="华文中宋" w:eastAsia="华文中宋"/>
          <w:b/>
          <w:bCs/>
          <w:w w:val="90"/>
          <w:sz w:val="48"/>
          <w:szCs w:val="48"/>
        </w:rPr>
      </w:pPr>
      <w:r>
        <w:rPr>
          <w:rFonts w:hint="eastAsia" w:ascii="华文中宋" w:hAnsi="华文中宋" w:eastAsia="华文中宋"/>
          <w:b/>
          <w:bCs/>
          <w:w w:val="90"/>
          <w:sz w:val="48"/>
          <w:szCs w:val="48"/>
          <w:lang w:eastAsia="zh-CN"/>
        </w:rPr>
        <w:t>楼宇钢网架等安全检测鉴定项目</w:t>
      </w:r>
      <w:r>
        <w:rPr>
          <w:rFonts w:hint="eastAsia" w:ascii="华文中宋" w:hAnsi="华文中宋" w:eastAsia="华文中宋"/>
          <w:b/>
          <w:bCs/>
          <w:w w:val="90"/>
          <w:sz w:val="48"/>
          <w:szCs w:val="48"/>
        </w:rPr>
        <w:t xml:space="preserve">        </w:t>
      </w:r>
    </w:p>
    <w:p>
      <w:pPr>
        <w:jc w:val="center"/>
        <w:rPr>
          <w:rFonts w:ascii="华文中宋" w:hAnsi="华文中宋" w:eastAsia="华文中宋"/>
          <w:sz w:val="52"/>
          <w:szCs w:val="52"/>
        </w:rPr>
      </w:pPr>
      <w:r>
        <w:rPr>
          <w:rFonts w:hint="eastAsia" w:ascii="华文中宋" w:hAnsi="华文中宋" w:eastAsia="华文中宋"/>
          <w:b/>
          <w:bCs/>
          <w:sz w:val="52"/>
          <w:szCs w:val="52"/>
        </w:rPr>
        <w:t>磋商文件</w:t>
      </w:r>
    </w:p>
    <w:p>
      <w:pPr>
        <w:ind w:firstLine="480" w:firstLineChars="100"/>
        <w:rPr>
          <w:rFonts w:ascii="仿宋_GB2312" w:eastAsia="仿宋_GB2312"/>
          <w:sz w:val="48"/>
          <w:szCs w:val="48"/>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jc w:val="center"/>
        <w:rPr>
          <w:rFonts w:ascii="仿宋_GB2312" w:eastAsia="仿宋_GB2312"/>
          <w:b/>
          <w:sz w:val="36"/>
          <w:szCs w:val="36"/>
        </w:rPr>
      </w:pPr>
      <w:r>
        <w:rPr>
          <w:rFonts w:hint="eastAsia" w:ascii="仿宋_GB2312" w:eastAsia="仿宋_GB2312"/>
          <w:b/>
          <w:sz w:val="36"/>
          <w:szCs w:val="36"/>
        </w:rPr>
        <w:t>皖南医学院国有资产管理处</w:t>
      </w:r>
    </w:p>
    <w:p>
      <w:pPr>
        <w:adjustRightInd w:val="0"/>
        <w:snapToGrid w:val="0"/>
        <w:jc w:val="center"/>
        <w:rPr>
          <w:rFonts w:ascii="仿宋_GB2312" w:hAnsi="仿宋_GB2312" w:eastAsia="仿宋_GB2312" w:cs="仿宋_GB2312"/>
          <w:b/>
          <w:sz w:val="36"/>
          <w:szCs w:val="36"/>
        </w:rPr>
      </w:pPr>
      <w:r>
        <w:rPr>
          <w:rFonts w:hint="eastAsia" w:ascii="仿宋_GB2312" w:eastAsia="仿宋_GB2312"/>
          <w:b/>
          <w:sz w:val="36"/>
          <w:szCs w:val="36"/>
        </w:rPr>
        <w:t>202</w:t>
      </w:r>
      <w:r>
        <w:rPr>
          <w:rFonts w:hint="eastAsia" w:ascii="仿宋_GB2312" w:eastAsia="仿宋_GB2312"/>
          <w:b/>
          <w:sz w:val="36"/>
          <w:szCs w:val="36"/>
          <w:lang w:val="en-US" w:eastAsia="zh-CN"/>
        </w:rPr>
        <w:t>2</w:t>
      </w:r>
      <w:r>
        <w:rPr>
          <w:rFonts w:hint="eastAsia" w:ascii="仿宋_GB2312" w:hAnsi="仿宋_GB2312" w:eastAsia="仿宋_GB2312" w:cs="仿宋_GB2312"/>
          <w:b/>
          <w:sz w:val="36"/>
          <w:szCs w:val="36"/>
        </w:rPr>
        <w:t>年</w:t>
      </w:r>
      <w:r>
        <w:rPr>
          <w:rFonts w:hint="eastAsia" w:ascii="仿宋_GB2312" w:hAnsi="仿宋_GB2312" w:eastAsia="仿宋_GB2312" w:cs="仿宋_GB2312"/>
          <w:b/>
          <w:sz w:val="36"/>
          <w:szCs w:val="36"/>
          <w:lang w:val="en-US" w:eastAsia="zh-CN"/>
        </w:rPr>
        <w:t>8</w:t>
      </w:r>
      <w:r>
        <w:rPr>
          <w:rFonts w:hint="eastAsia" w:ascii="仿宋_GB2312" w:hAnsi="仿宋_GB2312" w:eastAsia="仿宋_GB2312" w:cs="仿宋_GB2312"/>
          <w:b/>
          <w:sz w:val="36"/>
          <w:szCs w:val="36"/>
        </w:rPr>
        <w:t>月</w:t>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adjustRightInd w:val="0"/>
        <w:snapToGrid w:val="0"/>
        <w:jc w:val="center"/>
        <w:rPr>
          <w:rFonts w:ascii="仿宋_GB2312" w:hAnsi="仿宋_GB2312" w:eastAsia="仿宋_GB2312" w:cs="仿宋_GB2312"/>
          <w:b/>
          <w:sz w:val="36"/>
          <w:szCs w:val="36"/>
        </w:rPr>
      </w:pPr>
    </w:p>
    <w:p>
      <w:pPr>
        <w:pStyle w:val="21"/>
      </w:pPr>
      <w:r>
        <w:rPr>
          <w:rFonts w:hint="eastAsia"/>
        </w:rPr>
        <w:t>目  录</w:t>
      </w:r>
    </w:p>
    <w:p>
      <w:pPr>
        <w:pStyle w:val="21"/>
      </w:pPr>
    </w:p>
    <w:p>
      <w:pPr>
        <w:pStyle w:val="21"/>
        <w:rPr>
          <w:rFonts w:ascii="Calibri" w:hAnsi="Calibri" w:eastAsia="宋体"/>
          <w:b w:val="0"/>
          <w:sz w:val="21"/>
          <w:szCs w:val="22"/>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TOC \o "1-2" \h \z \u </w:instrText>
      </w:r>
      <w:r>
        <w:rPr>
          <w:rFonts w:hint="eastAsia" w:ascii="仿宋_GB2312" w:hAnsi="仿宋_GB2312" w:eastAsia="仿宋_GB2312" w:cs="仿宋_GB2312"/>
          <w:sz w:val="30"/>
          <w:szCs w:val="30"/>
        </w:rPr>
        <w:fldChar w:fldCharType="separate"/>
      </w:r>
      <w:r>
        <w:fldChar w:fldCharType="begin"/>
      </w:r>
      <w:r>
        <w:instrText xml:space="preserve"> HYPERLINK \l "_Toc49762999" </w:instrText>
      </w:r>
      <w:r>
        <w:fldChar w:fldCharType="separate"/>
      </w:r>
      <w:r>
        <w:rPr>
          <w:rStyle w:val="31"/>
          <w:rFonts w:hint="eastAsia"/>
        </w:rPr>
        <w:t>第一章</w:t>
      </w:r>
      <w:r>
        <w:rPr>
          <w:rStyle w:val="31"/>
        </w:rPr>
        <w:t xml:space="preserve">  </w:t>
      </w:r>
      <w:r>
        <w:rPr>
          <w:rStyle w:val="31"/>
          <w:rFonts w:hint="eastAsia"/>
        </w:rPr>
        <w:t>磋商公告</w:t>
      </w:r>
      <w:r>
        <w:tab/>
      </w:r>
      <w:r>
        <w:fldChar w:fldCharType="begin"/>
      </w:r>
      <w:r>
        <w:instrText xml:space="preserve"> PAGEREF _Toc49762999 \h </w:instrText>
      </w:r>
      <w:r>
        <w:fldChar w:fldCharType="separate"/>
      </w:r>
      <w:r>
        <w:t>1</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"_Toc49763000" </w:instrText>
      </w:r>
      <w:r>
        <w:fldChar w:fldCharType="separate"/>
      </w:r>
      <w:r>
        <w:rPr>
          <w:rStyle w:val="31"/>
          <w:rFonts w:hint="eastAsia"/>
        </w:rPr>
        <w:t>第二章</w:t>
      </w:r>
      <w:r>
        <w:rPr>
          <w:rStyle w:val="31"/>
        </w:rPr>
        <w:t xml:space="preserve">  </w:t>
      </w:r>
      <w:r>
        <w:rPr>
          <w:rStyle w:val="31"/>
          <w:rFonts w:hint="eastAsia"/>
        </w:rPr>
        <w:t>磋商须知前附表</w:t>
      </w:r>
      <w:r>
        <w:tab/>
      </w:r>
      <w:r>
        <w:fldChar w:fldCharType="begin"/>
      </w:r>
      <w:r>
        <w:instrText xml:space="preserve"> PAGEREF _Toc49763000 \h </w:instrText>
      </w:r>
      <w:r>
        <w:fldChar w:fldCharType="separate"/>
      </w:r>
      <w:r>
        <w:t>3</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"_Toc49763001" </w:instrText>
      </w:r>
      <w:r>
        <w:fldChar w:fldCharType="separate"/>
      </w:r>
      <w:r>
        <w:rPr>
          <w:rStyle w:val="31"/>
          <w:rFonts w:hint="eastAsia"/>
        </w:rPr>
        <w:t>第三章</w:t>
      </w:r>
      <w:r>
        <w:rPr>
          <w:rStyle w:val="31"/>
        </w:rPr>
        <w:t xml:space="preserve">  </w:t>
      </w:r>
      <w:r>
        <w:rPr>
          <w:rStyle w:val="31"/>
          <w:rFonts w:hint="eastAsia"/>
        </w:rPr>
        <w:t>磋商须知</w:t>
      </w:r>
      <w:r>
        <w:tab/>
      </w:r>
      <w:r>
        <w:fldChar w:fldCharType="begin"/>
      </w:r>
      <w:r>
        <w:instrText xml:space="preserve"> PAGEREF _Toc49763001 \h </w:instrText>
      </w:r>
      <w:r>
        <w:fldChar w:fldCharType="separate"/>
      </w:r>
      <w:r>
        <w:t>4</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"_Toc49763002" </w:instrText>
      </w:r>
      <w:r>
        <w:fldChar w:fldCharType="separate"/>
      </w:r>
      <w:r>
        <w:rPr>
          <w:rStyle w:val="31"/>
          <w:rFonts w:hint="eastAsia"/>
        </w:rPr>
        <w:t>第四章</w:t>
      </w:r>
      <w:r>
        <w:rPr>
          <w:rStyle w:val="31"/>
        </w:rPr>
        <w:t xml:space="preserve">  </w:t>
      </w:r>
      <w:r>
        <w:rPr>
          <w:rStyle w:val="31"/>
          <w:rFonts w:hint="eastAsia"/>
        </w:rPr>
        <w:t>合同主要条款</w:t>
      </w:r>
      <w:r>
        <w:tab/>
      </w:r>
      <w:r>
        <w:fldChar w:fldCharType="begin"/>
      </w:r>
      <w:r>
        <w:instrText xml:space="preserve"> PAGEREF _Toc49763002 \h </w:instrText>
      </w:r>
      <w:r>
        <w:fldChar w:fldCharType="separate"/>
      </w:r>
      <w:r>
        <w:t>11</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"_Toc49763003" </w:instrText>
      </w:r>
      <w:r>
        <w:fldChar w:fldCharType="separate"/>
      </w:r>
      <w:r>
        <w:rPr>
          <w:rStyle w:val="31"/>
          <w:rFonts w:hint="eastAsia"/>
        </w:rPr>
        <w:t>第五章</w:t>
      </w:r>
      <w:r>
        <w:rPr>
          <w:rStyle w:val="31"/>
        </w:rPr>
        <w:t xml:space="preserve">  </w:t>
      </w:r>
      <w:r>
        <w:rPr>
          <w:rStyle w:val="31"/>
          <w:rFonts w:hint="eastAsia"/>
        </w:rPr>
        <w:t>项目需求</w:t>
      </w:r>
      <w:r>
        <w:tab/>
      </w:r>
      <w:r>
        <w:fldChar w:fldCharType="begin"/>
      </w:r>
      <w:r>
        <w:instrText xml:space="preserve"> PAGEREF _Toc49763003 \h </w:instrText>
      </w:r>
      <w:r>
        <w:fldChar w:fldCharType="separate"/>
      </w:r>
      <w:r>
        <w:t>14</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"_Toc49763004" </w:instrText>
      </w:r>
      <w:r>
        <w:fldChar w:fldCharType="separate"/>
      </w:r>
      <w:r>
        <w:rPr>
          <w:rStyle w:val="31"/>
          <w:rFonts w:hint="eastAsia"/>
        </w:rPr>
        <w:t>第六章</w:t>
      </w:r>
      <w:r>
        <w:rPr>
          <w:rStyle w:val="31"/>
        </w:rPr>
        <w:t xml:space="preserve">  </w:t>
      </w:r>
      <w:r>
        <w:rPr>
          <w:rStyle w:val="31"/>
          <w:rFonts w:hint="eastAsia"/>
        </w:rPr>
        <w:t>评分办法和评分细则</w:t>
      </w:r>
      <w:r>
        <w:tab/>
      </w:r>
      <w:r>
        <w:fldChar w:fldCharType="begin"/>
      </w:r>
      <w:r>
        <w:instrText xml:space="preserve"> PAGEREF _Toc49763004 \h </w:instrText>
      </w:r>
      <w:r>
        <w:fldChar w:fldCharType="separate"/>
      </w:r>
      <w:r>
        <w:t>15</w:t>
      </w:r>
      <w:r>
        <w:fldChar w:fldCharType="end"/>
      </w:r>
      <w:r>
        <w:fldChar w:fldCharType="end"/>
      </w:r>
    </w:p>
    <w:p>
      <w:pPr>
        <w:pStyle w:val="21"/>
        <w:rPr>
          <w:rFonts w:ascii="Calibri" w:hAnsi="Calibri" w:eastAsia="宋体"/>
          <w:b w:val="0"/>
          <w:sz w:val="21"/>
          <w:szCs w:val="22"/>
        </w:rPr>
      </w:pPr>
      <w:r>
        <w:fldChar w:fldCharType="begin"/>
      </w:r>
      <w:r>
        <w:instrText xml:space="preserve"> HYPERLINK \l "_Toc49763005" </w:instrText>
      </w:r>
      <w:r>
        <w:fldChar w:fldCharType="separate"/>
      </w:r>
      <w:r>
        <w:rPr>
          <w:rStyle w:val="31"/>
          <w:rFonts w:hint="eastAsia"/>
        </w:rPr>
        <w:t>第七章</w:t>
      </w:r>
      <w:r>
        <w:rPr>
          <w:rStyle w:val="31"/>
        </w:rPr>
        <w:t xml:space="preserve">  </w:t>
      </w:r>
      <w:r>
        <w:rPr>
          <w:rStyle w:val="31"/>
          <w:rFonts w:hint="eastAsia"/>
        </w:rPr>
        <w:t>响应文件格式</w:t>
      </w:r>
      <w:r>
        <w:tab/>
      </w:r>
      <w:r>
        <w:fldChar w:fldCharType="begin"/>
      </w:r>
      <w:r>
        <w:instrText xml:space="preserve"> PAGEREF _Toc49763005 \h </w:instrText>
      </w:r>
      <w:r>
        <w:fldChar w:fldCharType="separate"/>
      </w:r>
      <w:r>
        <w:t>17</w:t>
      </w:r>
      <w:r>
        <w:fldChar w:fldCharType="end"/>
      </w:r>
      <w:r>
        <w:fldChar w:fldCharType="end"/>
      </w:r>
    </w:p>
    <w:p>
      <w:pPr>
        <w:adjustRightInd w:val="0"/>
        <w:snapToGrid w:val="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fldChar w:fldCharType="end"/>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800" w:header="851" w:footer="992" w:gutter="0"/>
          <w:cols w:space="720" w:num="1"/>
          <w:docGrid w:type="lines" w:linePitch="312" w:charSpace="0"/>
        </w:sectPr>
      </w:pPr>
    </w:p>
    <w:p>
      <w:pPr>
        <w:pStyle w:val="5"/>
        <w:ind w:firstLine="1446" w:firstLineChars="400"/>
        <w:rPr>
          <w:rFonts w:ascii="华文中宋" w:hAnsi="华文中宋" w:eastAsia="华文中宋"/>
          <w:color w:val="auto"/>
          <w:szCs w:val="21"/>
        </w:rPr>
      </w:pPr>
      <w:bookmarkStart w:id="0" w:name="_Toc49762999"/>
      <w:r>
        <w:rPr>
          <w:rFonts w:hint="eastAsia" w:ascii="华文中宋" w:hAnsi="华文中宋" w:eastAsia="华文中宋"/>
          <w:color w:val="auto"/>
          <w:szCs w:val="21"/>
        </w:rPr>
        <w:t>第一章  磋商公告</w:t>
      </w:r>
      <w:bookmarkEnd w:id="0"/>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我校</w:t>
      </w:r>
      <w:r>
        <w:rPr>
          <w:rFonts w:hint="eastAsia" w:ascii="仿宋_GB2312" w:eastAsia="仿宋_GB2312" w:cs="宋体"/>
          <w:sz w:val="24"/>
          <w:szCs w:val="24"/>
          <w:lang w:val="en-US" w:eastAsia="zh-CN"/>
        </w:rPr>
        <w:t>皖南医学院楼宇钢网架等安全检测鉴定项目</w:t>
      </w:r>
      <w:r>
        <w:rPr>
          <w:rFonts w:hint="default" w:ascii="仿宋_GB2312" w:eastAsia="仿宋_GB2312" w:cs="宋体"/>
          <w:sz w:val="24"/>
          <w:szCs w:val="24"/>
          <w:lang w:val="en-US" w:eastAsia="zh-CN"/>
        </w:rPr>
        <w:t>采取磋商的方式进行采购，现邀请符合资质条件的供应商参加投标和磋商。具体情况如下：</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一、项目概况：</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default" w:ascii="仿宋_GB2312" w:eastAsia="仿宋_GB2312" w:cs="宋体"/>
          <w:sz w:val="24"/>
          <w:szCs w:val="24"/>
          <w:lang w:val="en-US" w:eastAsia="zh-CN"/>
        </w:rPr>
        <w:t>（一）项目名称：</w:t>
      </w:r>
      <w:r>
        <w:rPr>
          <w:rFonts w:hint="eastAsia" w:ascii="仿宋_GB2312" w:eastAsia="仿宋_GB2312" w:cs="宋体"/>
          <w:sz w:val="24"/>
          <w:szCs w:val="24"/>
          <w:lang w:val="en-US" w:eastAsia="zh-CN"/>
        </w:rPr>
        <w:t>皖南医学院楼宇钢网架等安全检测鉴定项目</w:t>
      </w:r>
      <w:r>
        <w:rPr>
          <w:rFonts w:hint="default" w:ascii="仿宋_GB2312" w:eastAsia="仿宋_GB2312" w:cs="宋体"/>
          <w:sz w:val="24"/>
          <w:szCs w:val="24"/>
          <w:lang w:val="en-US" w:eastAsia="zh-CN"/>
        </w:rPr>
        <w:t>；</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（二）项目编号：WYGZ</w:t>
      </w:r>
      <w:r>
        <w:rPr>
          <w:rFonts w:hint="eastAsia" w:ascii="仿宋_GB2312" w:eastAsia="仿宋_GB2312" w:cs="宋体"/>
          <w:sz w:val="24"/>
          <w:szCs w:val="24"/>
          <w:lang w:val="en-US" w:eastAsia="zh-CN"/>
        </w:rPr>
        <w:t>2022015</w:t>
      </w:r>
      <w:r>
        <w:rPr>
          <w:rFonts w:hint="default" w:ascii="仿宋_GB2312" w:eastAsia="仿宋_GB2312" w:cs="宋体"/>
          <w:sz w:val="24"/>
          <w:szCs w:val="24"/>
          <w:lang w:val="en-US" w:eastAsia="zh-CN"/>
        </w:rPr>
        <w:t>;</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default" w:ascii="仿宋_GB2312" w:eastAsia="仿宋_GB2312" w:cs="宋体"/>
          <w:sz w:val="24"/>
          <w:szCs w:val="24"/>
          <w:lang w:val="en-US" w:eastAsia="zh-CN"/>
        </w:rPr>
        <w:t>（三）项目内容：</w:t>
      </w:r>
      <w:r>
        <w:rPr>
          <w:rFonts w:hint="eastAsia" w:ascii="仿宋_GB2312" w:eastAsia="仿宋_GB2312" w:cs="宋体"/>
          <w:sz w:val="24"/>
          <w:szCs w:val="24"/>
          <w:lang w:val="en-US" w:eastAsia="zh-CN"/>
        </w:rPr>
        <w:t>对我校部分楼宇钢网架、屋面钢结构飘蓬、钢结构玻璃雨棚及石材幕墙安全检测鉴定</w:t>
      </w:r>
      <w:r>
        <w:rPr>
          <w:rFonts w:hint="default" w:ascii="仿宋_GB2312" w:eastAsia="仿宋_GB2312" w:cs="宋体"/>
          <w:sz w:val="24"/>
          <w:szCs w:val="24"/>
          <w:lang w:val="en-US" w:eastAsia="zh-CN"/>
        </w:rPr>
        <w:t>，详见项目需求</w:t>
      </w:r>
      <w:r>
        <w:rPr>
          <w:rFonts w:hint="eastAsia" w:ascii="仿宋_GB2312" w:eastAsia="仿宋_GB2312" w:cs="宋体"/>
          <w:sz w:val="24"/>
          <w:szCs w:val="24"/>
          <w:lang w:val="en-US" w:eastAsia="zh-CN"/>
        </w:rPr>
        <w:t>；</w:t>
      </w:r>
    </w:p>
    <w:p>
      <w:pPr>
        <w:pStyle w:val="24"/>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rPr>
      </w:pPr>
      <w:r>
        <w:rPr>
          <w:rFonts w:hint="default" w:ascii="仿宋_GB2312" w:eastAsia="仿宋_GB2312" w:cs="宋体"/>
          <w:sz w:val="24"/>
          <w:szCs w:val="24"/>
          <w:lang w:val="en-US" w:eastAsia="zh-CN"/>
        </w:rPr>
        <w:t>（四）项目预算：</w:t>
      </w:r>
      <w:r>
        <w:rPr>
          <w:rFonts w:hint="eastAsia" w:ascii="仿宋_GB2312" w:eastAsia="仿宋_GB2312" w:cs="宋体"/>
          <w:sz w:val="24"/>
          <w:szCs w:val="24"/>
          <w:lang w:val="en-US" w:eastAsia="zh-CN"/>
        </w:rPr>
        <w:t>20万</w:t>
      </w:r>
      <w:r>
        <w:rPr>
          <w:rFonts w:hint="default" w:ascii="仿宋_GB2312" w:eastAsia="仿宋_GB2312" w:cs="宋体"/>
          <w:sz w:val="24"/>
          <w:szCs w:val="24"/>
          <w:lang w:val="en-US" w:eastAsia="zh-CN"/>
        </w:rPr>
        <w:t>元</w:t>
      </w:r>
      <w:r>
        <w:rPr>
          <w:rFonts w:hint="eastAsia" w:ascii="仿宋_GB2312" w:eastAsia="仿宋_GB2312" w:cs="宋体"/>
          <w:sz w:val="24"/>
          <w:szCs w:val="24"/>
          <w:lang w:val="en-US" w:eastAsia="zh-CN"/>
        </w:rPr>
        <w:t>。</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二、投标资质：</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default" w:ascii="仿宋_GB2312" w:eastAsia="仿宋_GB2312" w:cs="宋体"/>
          <w:sz w:val="24"/>
          <w:szCs w:val="24"/>
          <w:lang w:val="en-US" w:eastAsia="zh-CN"/>
        </w:rPr>
        <w:t>（</w:t>
      </w:r>
      <w:r>
        <w:rPr>
          <w:rFonts w:hint="eastAsia" w:ascii="仿宋_GB2312" w:eastAsia="仿宋_GB2312" w:cs="宋体"/>
          <w:sz w:val="24"/>
          <w:szCs w:val="24"/>
          <w:lang w:val="en-US" w:eastAsia="zh-CN"/>
        </w:rPr>
        <w:t>一</w:t>
      </w:r>
      <w:r>
        <w:rPr>
          <w:rFonts w:hint="default" w:ascii="仿宋_GB2312" w:eastAsia="仿宋_GB2312" w:cs="宋体"/>
          <w:sz w:val="24"/>
          <w:szCs w:val="24"/>
          <w:lang w:val="en-US" w:eastAsia="zh-CN"/>
        </w:rPr>
        <w:t>）</w:t>
      </w:r>
      <w:r>
        <w:rPr>
          <w:rFonts w:hint="eastAsia" w:ascii="仿宋_GB2312" w:eastAsia="仿宋_GB2312" w:cs="宋体"/>
          <w:sz w:val="24"/>
          <w:szCs w:val="24"/>
          <w:lang w:val="en-US" w:eastAsia="zh-CN"/>
        </w:rPr>
        <w:t>符合《中华人民共和国政府采购法》投标人资格条件；</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（二）具有独立法人资格；</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三）投标人资质要求：(1)具有省级及以上建设行政主管部门颁发的钢结构、幕墙工程检测资质；或具有省级及以上建设行政主管部门颁发的钢结构检测资质联合具有省级及以上建设行政主管部门颁发的幕墙工程检测资质； (2)具有有效的计量认证合格证书（CMA）。</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eastAsia" w:ascii="仿宋_GB2312" w:eastAsia="仿宋_GB2312" w:cs="宋体"/>
          <w:sz w:val="24"/>
          <w:szCs w:val="24"/>
          <w:lang w:val="en-US" w:eastAsia="zh-CN"/>
        </w:rPr>
        <w:t>（四）本次接受以钢结构联合幕墙联合体形式参与报价；</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三、报名时间及方式：</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lang w:val="en-US" w:eastAsia="zh-CN"/>
        </w:rPr>
        <w:t>（一）</w:t>
      </w:r>
      <w:r>
        <w:rPr>
          <w:rFonts w:hint="default" w:ascii="仿宋_GB2312" w:eastAsia="仿宋_GB2312" w:cs="宋体"/>
          <w:sz w:val="24"/>
          <w:szCs w:val="24"/>
          <w:highlight w:val="none"/>
          <w:lang w:val="en-US" w:eastAsia="zh-CN"/>
        </w:rPr>
        <w:t>报名时间：202</w:t>
      </w:r>
      <w:r>
        <w:rPr>
          <w:rFonts w:hint="eastAsia" w:ascii="仿宋_GB2312" w:eastAsia="仿宋_GB2312" w:cs="宋体"/>
          <w:sz w:val="24"/>
          <w:szCs w:val="24"/>
          <w:highlight w:val="none"/>
          <w:lang w:val="en-US" w:eastAsia="zh-CN"/>
        </w:rPr>
        <w:t>2</w:t>
      </w:r>
      <w:r>
        <w:rPr>
          <w:rFonts w:hint="default" w:ascii="仿宋_GB2312" w:eastAsia="仿宋_GB2312" w:cs="宋体"/>
          <w:sz w:val="24"/>
          <w:szCs w:val="24"/>
          <w:highlight w:val="none"/>
          <w:lang w:val="en-US" w:eastAsia="zh-CN"/>
        </w:rPr>
        <w:t>年</w:t>
      </w:r>
      <w:r>
        <w:rPr>
          <w:rFonts w:hint="eastAsia" w:ascii="仿宋_GB2312" w:eastAsia="仿宋_GB2312" w:cs="宋体"/>
          <w:sz w:val="24"/>
          <w:szCs w:val="24"/>
          <w:highlight w:val="none"/>
          <w:lang w:val="en-US" w:eastAsia="zh-CN"/>
        </w:rPr>
        <w:t>8</w:t>
      </w:r>
      <w:r>
        <w:rPr>
          <w:rFonts w:hint="default" w:ascii="仿宋_GB2312" w:eastAsia="仿宋_GB2312" w:cs="宋体"/>
          <w:sz w:val="24"/>
          <w:szCs w:val="24"/>
          <w:highlight w:val="none"/>
          <w:lang w:val="en-US" w:eastAsia="zh-CN"/>
        </w:rPr>
        <w:t>月</w:t>
      </w:r>
      <w:r>
        <w:rPr>
          <w:rFonts w:hint="eastAsia" w:ascii="仿宋_GB2312" w:eastAsia="仿宋_GB2312" w:cs="宋体"/>
          <w:sz w:val="24"/>
          <w:szCs w:val="24"/>
          <w:highlight w:val="none"/>
          <w:lang w:val="en-US" w:eastAsia="zh-CN"/>
        </w:rPr>
        <w:t>30</w:t>
      </w:r>
      <w:r>
        <w:rPr>
          <w:rFonts w:hint="default" w:ascii="仿宋_GB2312" w:eastAsia="仿宋_GB2312" w:cs="宋体"/>
          <w:sz w:val="24"/>
          <w:szCs w:val="24"/>
          <w:highlight w:val="none"/>
          <w:lang w:val="en-US" w:eastAsia="zh-CN"/>
        </w:rPr>
        <w:t>日-202</w:t>
      </w:r>
      <w:r>
        <w:rPr>
          <w:rFonts w:hint="eastAsia" w:ascii="仿宋_GB2312" w:eastAsia="仿宋_GB2312" w:cs="宋体"/>
          <w:sz w:val="24"/>
          <w:szCs w:val="24"/>
          <w:highlight w:val="none"/>
          <w:lang w:val="en-US" w:eastAsia="zh-CN"/>
        </w:rPr>
        <w:t>2</w:t>
      </w:r>
      <w:r>
        <w:rPr>
          <w:rFonts w:hint="default" w:ascii="仿宋_GB2312" w:eastAsia="仿宋_GB2312" w:cs="宋体"/>
          <w:sz w:val="24"/>
          <w:szCs w:val="24"/>
          <w:highlight w:val="none"/>
          <w:lang w:val="en-US" w:eastAsia="zh-CN"/>
        </w:rPr>
        <w:t>年</w:t>
      </w:r>
      <w:r>
        <w:rPr>
          <w:rFonts w:hint="eastAsia" w:ascii="仿宋_GB2312" w:eastAsia="仿宋_GB2312" w:cs="宋体"/>
          <w:sz w:val="24"/>
          <w:szCs w:val="24"/>
          <w:highlight w:val="none"/>
          <w:lang w:val="en-US" w:eastAsia="zh-CN"/>
        </w:rPr>
        <w:t>9</w:t>
      </w:r>
      <w:r>
        <w:rPr>
          <w:rFonts w:hint="default" w:ascii="仿宋_GB2312" w:eastAsia="仿宋_GB2312" w:cs="宋体"/>
          <w:sz w:val="24"/>
          <w:szCs w:val="24"/>
          <w:highlight w:val="none"/>
          <w:lang w:val="en-US" w:eastAsia="zh-CN"/>
        </w:rPr>
        <w:t>月</w:t>
      </w:r>
      <w:r>
        <w:rPr>
          <w:rFonts w:hint="eastAsia" w:ascii="仿宋_GB2312" w:eastAsia="仿宋_GB2312" w:cs="宋体"/>
          <w:sz w:val="24"/>
          <w:szCs w:val="24"/>
          <w:highlight w:val="none"/>
          <w:lang w:val="en-US" w:eastAsia="zh-CN"/>
        </w:rPr>
        <w:t>6</w:t>
      </w:r>
      <w:r>
        <w:rPr>
          <w:rFonts w:hint="default" w:ascii="仿宋_GB2312" w:eastAsia="仿宋_GB2312" w:cs="宋体"/>
          <w:sz w:val="24"/>
          <w:szCs w:val="24"/>
          <w:highlight w:val="none"/>
          <w:lang w:val="en-US" w:eastAsia="zh-CN"/>
        </w:rPr>
        <w:t>日下午5:00；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_GB2312" w:hAnsi="宋体" w:eastAsia="仿宋_GB2312" w:cs="宋体"/>
          <w:kern w:val="0"/>
          <w:sz w:val="24"/>
          <w:szCs w:val="24"/>
          <w:lang w:val="zh-CN" w:eastAsia="zh-CN" w:bidi="ar-SA"/>
        </w:rPr>
      </w:pPr>
      <w:r>
        <w:rPr>
          <w:rFonts w:hint="eastAsia" w:ascii="仿宋_GB2312" w:eastAsia="仿宋_GB2312" w:cs="宋体"/>
          <w:sz w:val="24"/>
          <w:szCs w:val="24"/>
          <w:lang w:val="zh-CN"/>
        </w:rPr>
        <w:t>（二）</w:t>
      </w:r>
      <w:r>
        <w:rPr>
          <w:rFonts w:hint="eastAsia" w:ascii="仿宋_GB2312" w:hAnsi="宋体" w:eastAsia="仿宋_GB2312" w:cs="宋体"/>
          <w:kern w:val="0"/>
          <w:sz w:val="24"/>
          <w:szCs w:val="24"/>
          <w:lang w:val="zh-CN" w:eastAsia="zh-CN" w:bidi="ar-SA"/>
        </w:rPr>
        <w:t>报名方式：</w:t>
      </w:r>
      <w:r>
        <w:rPr>
          <w:rFonts w:hint="eastAsia" w:ascii="仿宋_GB2312" w:hAnsi="宋体" w:eastAsia="仿宋_GB2312" w:cs="宋体"/>
          <w:kern w:val="0"/>
          <w:sz w:val="24"/>
          <w:szCs w:val="24"/>
          <w:lang w:val="en-US" w:eastAsia="zh-CN" w:bidi="ar-SA"/>
        </w:rPr>
        <w:t>皖南医学院楼宇钢网架等安全检测鉴定项目</w:t>
      </w:r>
      <w:r>
        <w:rPr>
          <w:rFonts w:hint="default" w:ascii="仿宋_GB2312" w:hAnsi="宋体" w:eastAsia="仿宋_GB2312" w:cs="宋体"/>
          <w:kern w:val="0"/>
          <w:sz w:val="24"/>
          <w:szCs w:val="24"/>
          <w:lang w:val="en-US" w:eastAsia="zh-CN" w:bidi="ar-SA"/>
        </w:rPr>
        <w:t>（项目编号：WYGZ</w:t>
      </w:r>
      <w:r>
        <w:rPr>
          <w:rFonts w:hint="eastAsia" w:ascii="仿宋_GB2312" w:hAnsi="宋体" w:eastAsia="仿宋_GB2312" w:cs="宋体"/>
          <w:kern w:val="0"/>
          <w:sz w:val="24"/>
          <w:szCs w:val="24"/>
          <w:lang w:val="en-US" w:eastAsia="zh-CN" w:bidi="ar-SA"/>
        </w:rPr>
        <w:t>2022015</w:t>
      </w:r>
      <w:r>
        <w:rPr>
          <w:rFonts w:hint="default" w:ascii="仿宋_GB2312" w:hAnsi="宋体" w:eastAsia="仿宋_GB2312" w:cs="宋体"/>
          <w:kern w:val="0"/>
          <w:sz w:val="24"/>
          <w:szCs w:val="24"/>
          <w:lang w:val="en-US" w:eastAsia="zh-CN" w:bidi="ar-SA"/>
        </w:rPr>
        <w:t>）已在皖南医学院网上采购平台（http://wnmc.youzhicai.com/）发布，请潜在供应商在皖南医学院网上采购平台参与项目</w:t>
      </w:r>
      <w:r>
        <w:rPr>
          <w:rFonts w:hint="eastAsia" w:ascii="仿宋_GB2312" w:hAnsi="宋体" w:eastAsia="仿宋_GB2312" w:cs="宋体"/>
          <w:kern w:val="0"/>
          <w:sz w:val="24"/>
          <w:szCs w:val="24"/>
          <w:lang w:val="en-US" w:eastAsia="zh-CN" w:bidi="ar-SA"/>
        </w:rPr>
        <w:t>报名</w:t>
      </w:r>
      <w:r>
        <w:rPr>
          <w:rFonts w:hint="eastAsia" w:ascii="仿宋_GB2312" w:hAnsi="宋体" w:eastAsia="仿宋_GB2312" w:cs="宋体"/>
          <w:kern w:val="0"/>
          <w:sz w:val="24"/>
          <w:szCs w:val="24"/>
          <w:lang w:val="zh-CN" w:eastAsia="zh-CN" w:bidi="ar-SA"/>
        </w:rPr>
        <w:t>；</w:t>
      </w: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仿宋_GB2312" w:eastAsia="仿宋_GB2312" w:cs="宋体"/>
          <w:sz w:val="24"/>
          <w:szCs w:val="24"/>
          <w:lang w:val="zh-CN"/>
        </w:rPr>
      </w:pPr>
      <w:r>
        <w:rPr>
          <w:rFonts w:hint="eastAsia" w:ascii="仿宋_GB2312" w:eastAsia="仿宋_GB2312" w:cs="宋体"/>
          <w:sz w:val="24"/>
          <w:szCs w:val="24"/>
          <w:lang w:val="zh-CN"/>
        </w:rPr>
        <w:t>（三）招标文件获取：自行下载。</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四、响应文件份数：一式三份（正本一份，副本二份），每份响应文件须清楚表明“正本”或“副本”字样。</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五、响应文件递交：</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lang w:val="en-US" w:eastAsia="zh-CN"/>
        </w:rPr>
        <w:t>（一）响应文件</w:t>
      </w:r>
      <w:r>
        <w:rPr>
          <w:rFonts w:hint="default" w:ascii="仿宋_GB2312" w:eastAsia="仿宋_GB2312" w:cs="宋体"/>
          <w:sz w:val="24"/>
          <w:szCs w:val="24"/>
          <w:highlight w:val="none"/>
          <w:lang w:val="en-US" w:eastAsia="zh-CN"/>
        </w:rPr>
        <w:t>递交截止时间：202</w:t>
      </w:r>
      <w:r>
        <w:rPr>
          <w:rFonts w:hint="eastAsia" w:ascii="仿宋_GB2312" w:eastAsia="仿宋_GB2312" w:cs="宋体"/>
          <w:sz w:val="24"/>
          <w:szCs w:val="24"/>
          <w:highlight w:val="none"/>
          <w:lang w:val="en-US" w:eastAsia="zh-CN"/>
        </w:rPr>
        <w:t>2</w:t>
      </w:r>
      <w:r>
        <w:rPr>
          <w:rFonts w:hint="default" w:ascii="仿宋_GB2312" w:eastAsia="仿宋_GB2312" w:cs="宋体"/>
          <w:sz w:val="24"/>
          <w:szCs w:val="24"/>
          <w:highlight w:val="none"/>
          <w:lang w:val="en-US" w:eastAsia="zh-CN"/>
        </w:rPr>
        <w:t>年</w:t>
      </w:r>
      <w:r>
        <w:rPr>
          <w:rFonts w:hint="eastAsia" w:ascii="仿宋_GB2312" w:eastAsia="仿宋_GB2312" w:cs="宋体"/>
          <w:sz w:val="24"/>
          <w:szCs w:val="24"/>
          <w:highlight w:val="none"/>
          <w:lang w:val="en-US" w:eastAsia="zh-CN"/>
        </w:rPr>
        <w:t>9</w:t>
      </w:r>
      <w:r>
        <w:rPr>
          <w:rFonts w:hint="default" w:ascii="仿宋_GB2312" w:eastAsia="仿宋_GB2312" w:cs="宋体"/>
          <w:sz w:val="24"/>
          <w:szCs w:val="24"/>
          <w:highlight w:val="none"/>
          <w:lang w:val="en-US" w:eastAsia="zh-CN"/>
        </w:rPr>
        <w:t>月</w:t>
      </w:r>
      <w:r>
        <w:rPr>
          <w:rFonts w:hint="eastAsia" w:ascii="仿宋_GB2312" w:eastAsia="仿宋_GB2312" w:cs="宋体"/>
          <w:sz w:val="24"/>
          <w:szCs w:val="24"/>
          <w:highlight w:val="none"/>
          <w:lang w:val="en-US" w:eastAsia="zh-CN"/>
        </w:rPr>
        <w:t>9</w:t>
      </w:r>
      <w:r>
        <w:rPr>
          <w:rFonts w:hint="default" w:ascii="仿宋_GB2312" w:eastAsia="仿宋_GB2312" w:cs="宋体"/>
          <w:sz w:val="24"/>
          <w:szCs w:val="24"/>
          <w:highlight w:val="none"/>
          <w:lang w:val="en-US" w:eastAsia="zh-CN"/>
        </w:rPr>
        <w:t>日</w:t>
      </w:r>
      <w:r>
        <w:rPr>
          <w:rFonts w:hint="eastAsia" w:ascii="仿宋_GB2312" w:eastAsia="仿宋_GB2312" w:cs="宋体"/>
          <w:sz w:val="24"/>
          <w:szCs w:val="24"/>
          <w:highlight w:val="none"/>
          <w:lang w:val="en-US" w:eastAsia="zh-CN"/>
        </w:rPr>
        <w:t>上午9</w:t>
      </w:r>
      <w:r>
        <w:rPr>
          <w:rFonts w:hint="default" w:ascii="仿宋_GB2312" w:eastAsia="仿宋_GB2312" w:cs="宋体"/>
          <w:sz w:val="24"/>
          <w:szCs w:val="24"/>
          <w:highlight w:val="none"/>
          <w:lang w:val="en-US" w:eastAsia="zh-CN"/>
        </w:rPr>
        <w:t>:</w:t>
      </w:r>
      <w:r>
        <w:rPr>
          <w:rFonts w:hint="eastAsia" w:ascii="仿宋_GB2312" w:eastAsia="仿宋_GB2312" w:cs="宋体"/>
          <w:sz w:val="24"/>
          <w:szCs w:val="24"/>
          <w:highlight w:val="none"/>
          <w:lang w:val="en-US" w:eastAsia="zh-CN"/>
        </w:rPr>
        <w:t>30</w:t>
      </w:r>
      <w:r>
        <w:rPr>
          <w:rFonts w:hint="default" w:ascii="仿宋_GB2312" w:eastAsia="仿宋_GB2312" w:cs="宋体"/>
          <w:sz w:val="24"/>
          <w:szCs w:val="24"/>
          <w:highlight w:val="none"/>
          <w:lang w:val="en-US" w:eastAsia="zh-CN"/>
        </w:rPr>
        <w:t>；</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（二）响应文件开启时间：202</w:t>
      </w:r>
      <w:r>
        <w:rPr>
          <w:rFonts w:hint="eastAsia" w:ascii="仿宋_GB2312" w:eastAsia="仿宋_GB2312" w:cs="宋体"/>
          <w:sz w:val="24"/>
          <w:szCs w:val="24"/>
          <w:highlight w:val="none"/>
          <w:lang w:val="en-US" w:eastAsia="zh-CN"/>
        </w:rPr>
        <w:t>2</w:t>
      </w:r>
      <w:r>
        <w:rPr>
          <w:rFonts w:hint="default" w:ascii="仿宋_GB2312" w:eastAsia="仿宋_GB2312" w:cs="宋体"/>
          <w:sz w:val="24"/>
          <w:szCs w:val="24"/>
          <w:highlight w:val="none"/>
          <w:lang w:val="en-US" w:eastAsia="zh-CN"/>
        </w:rPr>
        <w:t>年</w:t>
      </w:r>
      <w:r>
        <w:rPr>
          <w:rFonts w:hint="eastAsia" w:ascii="仿宋_GB2312" w:eastAsia="仿宋_GB2312" w:cs="宋体"/>
          <w:sz w:val="24"/>
          <w:szCs w:val="24"/>
          <w:highlight w:val="none"/>
          <w:lang w:val="en-US" w:eastAsia="zh-CN"/>
        </w:rPr>
        <w:t>9</w:t>
      </w:r>
      <w:r>
        <w:rPr>
          <w:rFonts w:hint="default" w:ascii="仿宋_GB2312" w:eastAsia="仿宋_GB2312" w:cs="宋体"/>
          <w:sz w:val="24"/>
          <w:szCs w:val="24"/>
          <w:highlight w:val="none"/>
          <w:lang w:val="en-US" w:eastAsia="zh-CN"/>
        </w:rPr>
        <w:t>月</w:t>
      </w:r>
      <w:r>
        <w:rPr>
          <w:rFonts w:hint="eastAsia" w:ascii="仿宋_GB2312" w:eastAsia="仿宋_GB2312" w:cs="宋体"/>
          <w:sz w:val="24"/>
          <w:szCs w:val="24"/>
          <w:highlight w:val="none"/>
          <w:lang w:val="en-US" w:eastAsia="zh-CN"/>
        </w:rPr>
        <w:t>9</w:t>
      </w:r>
      <w:r>
        <w:rPr>
          <w:rFonts w:hint="default" w:ascii="仿宋_GB2312" w:eastAsia="仿宋_GB2312" w:cs="宋体"/>
          <w:sz w:val="24"/>
          <w:szCs w:val="24"/>
          <w:highlight w:val="none"/>
          <w:lang w:val="en-US" w:eastAsia="zh-CN"/>
        </w:rPr>
        <w:t>日</w:t>
      </w:r>
      <w:r>
        <w:rPr>
          <w:rFonts w:hint="eastAsia" w:ascii="仿宋_GB2312" w:eastAsia="仿宋_GB2312" w:cs="宋体"/>
          <w:sz w:val="24"/>
          <w:szCs w:val="24"/>
          <w:highlight w:val="none"/>
          <w:lang w:val="en-US" w:eastAsia="zh-CN"/>
        </w:rPr>
        <w:t>上午9</w:t>
      </w:r>
      <w:r>
        <w:rPr>
          <w:rFonts w:hint="default" w:ascii="仿宋_GB2312" w:eastAsia="仿宋_GB2312" w:cs="宋体"/>
          <w:sz w:val="24"/>
          <w:szCs w:val="24"/>
          <w:highlight w:val="none"/>
          <w:lang w:val="en-US" w:eastAsia="zh-CN"/>
        </w:rPr>
        <w:t>:</w:t>
      </w:r>
      <w:r>
        <w:rPr>
          <w:rFonts w:hint="eastAsia" w:ascii="仿宋_GB2312" w:eastAsia="仿宋_GB2312" w:cs="宋体"/>
          <w:sz w:val="24"/>
          <w:szCs w:val="24"/>
          <w:highlight w:val="none"/>
          <w:lang w:val="en-US" w:eastAsia="zh-CN"/>
        </w:rPr>
        <w:t>30</w:t>
      </w:r>
      <w:r>
        <w:rPr>
          <w:rFonts w:hint="default" w:ascii="仿宋_GB2312" w:eastAsia="仿宋_GB2312" w:cs="宋体"/>
          <w:sz w:val="24"/>
          <w:szCs w:val="24"/>
          <w:highlight w:val="none"/>
          <w:lang w:val="en-US" w:eastAsia="zh-CN"/>
        </w:rPr>
        <w:t>；</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（三）地点：芜湖市弋江区文昌西路22号皖南医学院滨江校区图书信息楼东辅楼5楼5002室；</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（四）递交响应文件时间截止后，磋商小组与供应商磋商，请供应商法定代表人或其授权委托代表（提供授权委托书）出席。</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六、联系方式：</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（一）联系人：赵老师</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（二）联系电话：0553-3932052</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七、备注</w:t>
      </w:r>
    </w:p>
    <w:p>
      <w:pPr>
        <w:pStyle w:val="24"/>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eastAsia="zh-CN"/>
        </w:rPr>
      </w:pPr>
      <w:r>
        <w:rPr>
          <w:rFonts w:hint="default" w:ascii="仿宋_GB2312" w:eastAsia="仿宋_GB2312" w:cs="宋体"/>
          <w:sz w:val="24"/>
          <w:szCs w:val="24"/>
          <w:lang w:val="en-US" w:eastAsia="zh-CN"/>
        </w:rPr>
        <w:t>我校保留对报名合格单位进行进一步资格审核的权利。</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八、温馨提示</w:t>
      </w:r>
    </w:p>
    <w:p>
      <w:pPr>
        <w:pStyle w:val="24"/>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eastAsia="zh-CN"/>
        </w:rPr>
      </w:pPr>
      <w:r>
        <w:rPr>
          <w:rFonts w:hint="eastAsia" w:ascii="仿宋_GB2312" w:eastAsia="仿宋_GB2312" w:cs="宋体"/>
          <w:sz w:val="24"/>
          <w:szCs w:val="24"/>
          <w:lang w:val="en-US" w:eastAsia="zh-CN"/>
        </w:rPr>
        <w:t>因学校防控要求，校外人员进校需填写《校外人员入校申请表》（附件）。请各投标单位如实填写，并于2022年9月8日12：00前将</w:t>
      </w:r>
      <w:r>
        <w:rPr>
          <w:rFonts w:hint="eastAsia" w:ascii="仿宋_GB2312" w:eastAsia="仿宋_GB2312" w:cs="宋体"/>
          <w:b/>
          <w:bCs/>
          <w:sz w:val="28"/>
          <w:szCs w:val="28"/>
          <w:highlight w:val="red"/>
          <w:lang w:val="en-US" w:eastAsia="zh-CN"/>
        </w:rPr>
        <w:t>手写签名扫描版</w:t>
      </w:r>
      <w:r>
        <w:rPr>
          <w:rFonts w:hint="eastAsia" w:ascii="仿宋_GB2312" w:eastAsia="仿宋_GB2312" w:cs="宋体"/>
          <w:sz w:val="24"/>
          <w:szCs w:val="24"/>
          <w:lang w:val="en-US" w:eastAsia="zh-CN"/>
        </w:rPr>
        <w:t>传至470242012@qq.com。未按时提交《校外人员入校申请表》的，后果自负。</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eastAsia="zh-CN"/>
        </w:rPr>
      </w:pP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 </w:t>
      </w:r>
    </w:p>
    <w:p>
      <w:pPr>
        <w:pStyle w:val="24"/>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 </w:t>
      </w:r>
    </w:p>
    <w:p>
      <w:pPr>
        <w:pStyle w:val="24"/>
        <w:adjustRightInd w:val="0"/>
        <w:snapToGrid w:val="0"/>
        <w:spacing w:before="0" w:beforeAutospacing="0" w:after="0" w:afterAutospacing="0" w:line="360" w:lineRule="auto"/>
        <w:ind w:firstLine="480" w:firstLineChars="200"/>
        <w:jc w:val="right"/>
        <w:rPr>
          <w:rFonts w:hint="eastAsia" w:ascii="仿宋_GB2312" w:eastAsia="仿宋_GB2312" w:cs="宋体"/>
          <w:sz w:val="24"/>
          <w:szCs w:val="24"/>
          <w:lang w:val="zh-CN"/>
        </w:rPr>
      </w:pPr>
      <w:r>
        <w:rPr>
          <w:rFonts w:hint="default" w:ascii="仿宋_GB2312" w:eastAsia="仿宋_GB2312" w:cs="宋体"/>
          <w:sz w:val="24"/>
          <w:szCs w:val="24"/>
          <w:lang w:val="en-US" w:eastAsia="zh-CN"/>
        </w:rPr>
        <w:t>皖南医学院国有资产管理处</w:t>
      </w:r>
    </w:p>
    <w:p>
      <w:pPr>
        <w:pStyle w:val="24"/>
        <w:adjustRightInd w:val="0"/>
        <w:snapToGrid w:val="0"/>
        <w:spacing w:before="0" w:beforeAutospacing="0" w:after="0" w:afterAutospacing="0" w:line="360" w:lineRule="auto"/>
        <w:ind w:firstLine="480" w:firstLineChars="200"/>
        <w:jc w:val="right"/>
        <w:rPr>
          <w:rFonts w:hint="eastAsia" w:ascii="微软雅黑" w:hAnsi="微软雅黑" w:eastAsia="微软雅黑" w:cs="微软雅黑"/>
          <w:i w:val="0"/>
          <w:iCs w:val="0"/>
          <w:caps w:val="0"/>
          <w:color w:val="333333"/>
          <w:spacing w:val="0"/>
          <w:sz w:val="21"/>
          <w:szCs w:val="21"/>
          <w:highlight w:val="none"/>
        </w:rPr>
      </w:pPr>
      <w:r>
        <w:rPr>
          <w:rFonts w:hint="default" w:ascii="仿宋_GB2312" w:eastAsia="仿宋_GB2312" w:cs="宋体"/>
          <w:sz w:val="24"/>
          <w:szCs w:val="24"/>
          <w:highlight w:val="none"/>
          <w:lang w:val="en-US" w:eastAsia="zh-CN"/>
        </w:rPr>
        <w:t>202</w:t>
      </w:r>
      <w:r>
        <w:rPr>
          <w:rFonts w:hint="eastAsia" w:ascii="仿宋_GB2312" w:eastAsia="仿宋_GB2312" w:cs="宋体"/>
          <w:sz w:val="24"/>
          <w:szCs w:val="24"/>
          <w:highlight w:val="none"/>
          <w:lang w:val="en-US" w:eastAsia="zh-CN"/>
        </w:rPr>
        <w:t>2</w:t>
      </w:r>
      <w:r>
        <w:rPr>
          <w:rFonts w:hint="default" w:ascii="仿宋_GB2312" w:eastAsia="仿宋_GB2312" w:cs="宋体"/>
          <w:sz w:val="24"/>
          <w:szCs w:val="24"/>
          <w:highlight w:val="none"/>
          <w:lang w:val="en-US" w:eastAsia="zh-CN"/>
        </w:rPr>
        <w:t>年</w:t>
      </w:r>
      <w:r>
        <w:rPr>
          <w:rFonts w:hint="eastAsia" w:ascii="仿宋_GB2312" w:eastAsia="仿宋_GB2312" w:cs="宋体"/>
          <w:sz w:val="24"/>
          <w:szCs w:val="24"/>
          <w:highlight w:val="none"/>
          <w:lang w:val="en-US" w:eastAsia="zh-CN"/>
        </w:rPr>
        <w:t>8</w:t>
      </w:r>
      <w:r>
        <w:rPr>
          <w:rFonts w:hint="default" w:ascii="仿宋_GB2312" w:eastAsia="仿宋_GB2312" w:cs="宋体"/>
          <w:sz w:val="24"/>
          <w:szCs w:val="24"/>
          <w:highlight w:val="none"/>
          <w:lang w:val="en-US" w:eastAsia="zh-CN"/>
        </w:rPr>
        <w:t>月</w:t>
      </w:r>
      <w:r>
        <w:rPr>
          <w:rFonts w:hint="eastAsia" w:ascii="仿宋_GB2312" w:eastAsia="仿宋_GB2312" w:cs="宋体"/>
          <w:sz w:val="24"/>
          <w:szCs w:val="24"/>
          <w:highlight w:val="none"/>
          <w:lang w:val="en-US" w:eastAsia="zh-CN"/>
        </w:rPr>
        <w:t>29</w:t>
      </w:r>
      <w:bookmarkStart w:id="153" w:name="_GoBack"/>
      <w:bookmarkEnd w:id="153"/>
      <w:r>
        <w:rPr>
          <w:rFonts w:hint="default" w:ascii="仿宋_GB2312" w:eastAsia="仿宋_GB2312" w:cs="宋体"/>
          <w:sz w:val="24"/>
          <w:szCs w:val="24"/>
          <w:highlight w:val="none"/>
          <w:lang w:val="en-US" w:eastAsia="zh-CN"/>
        </w:rPr>
        <w:t>日</w:t>
      </w:r>
    </w:p>
    <w:p>
      <w:pPr>
        <w:jc w:val="right"/>
        <w:rPr>
          <w:rFonts w:ascii="仿宋_GB2312" w:eastAsia="仿宋_GB2312"/>
          <w:sz w:val="24"/>
          <w:szCs w:val="24"/>
        </w:rPr>
      </w:pPr>
    </w:p>
    <w:p>
      <w:pPr>
        <w:pStyle w:val="5"/>
        <w:snapToGrid w:val="0"/>
        <w:spacing w:before="0" w:after="0"/>
        <w:ind w:left="0" w:leftChars="0" w:firstLine="2168" w:firstLineChars="600"/>
        <w:jc w:val="both"/>
        <w:rPr>
          <w:rFonts w:ascii="华文中宋" w:hAnsi="华文中宋" w:eastAsia="华文中宋"/>
          <w:color w:val="auto"/>
        </w:rPr>
      </w:pPr>
      <w:bookmarkStart w:id="1" w:name="_Toc49763000"/>
      <w:r>
        <w:rPr>
          <w:rFonts w:hint="eastAsia" w:ascii="华文中宋" w:hAnsi="华文中宋" w:eastAsia="华文中宋"/>
          <w:color w:val="auto"/>
        </w:rPr>
        <w:br w:type="page"/>
      </w:r>
      <w:r>
        <w:rPr>
          <w:rFonts w:hint="eastAsia" w:ascii="华文中宋" w:hAnsi="华文中宋" w:eastAsia="华文中宋"/>
          <w:color w:val="auto"/>
        </w:rPr>
        <w:t>第二章  磋商须知前附表</w:t>
      </w:r>
      <w:bookmarkEnd w:id="1"/>
    </w:p>
    <w:tbl>
      <w:tblPr>
        <w:tblStyle w:val="27"/>
        <w:tblW w:w="91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249"/>
        <w:gridCol w:w="58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b/>
                <w:kern w:val="0"/>
                <w:sz w:val="21"/>
                <w:szCs w:val="21"/>
              </w:rPr>
            </w:pPr>
            <w:r>
              <w:rPr>
                <w:rFonts w:hint="eastAsia" w:ascii="宋体" w:hAnsi="宋体" w:cs="宋体"/>
                <w:b/>
                <w:kern w:val="0"/>
                <w:sz w:val="21"/>
                <w:szCs w:val="21"/>
              </w:rPr>
              <w:t>条款号</w:t>
            </w:r>
          </w:p>
        </w:tc>
        <w:tc>
          <w:tcPr>
            <w:tcW w:w="2249" w:type="dxa"/>
            <w:noWrap w:val="0"/>
            <w:vAlign w:val="center"/>
          </w:tcPr>
          <w:p>
            <w:pPr>
              <w:widowControl/>
              <w:spacing w:line="360" w:lineRule="exact"/>
              <w:jc w:val="center"/>
              <w:rPr>
                <w:rFonts w:hint="eastAsia" w:ascii="宋体" w:hAnsi="宋体" w:cs="宋体"/>
                <w:b/>
                <w:kern w:val="0"/>
                <w:sz w:val="21"/>
                <w:szCs w:val="21"/>
              </w:rPr>
            </w:pPr>
            <w:r>
              <w:rPr>
                <w:rFonts w:hint="eastAsia" w:ascii="宋体" w:hAnsi="宋体" w:cs="宋体"/>
                <w:b/>
                <w:kern w:val="0"/>
                <w:sz w:val="21"/>
                <w:szCs w:val="21"/>
              </w:rPr>
              <w:t>条款名称</w:t>
            </w:r>
          </w:p>
        </w:tc>
        <w:tc>
          <w:tcPr>
            <w:tcW w:w="5866" w:type="dxa"/>
            <w:noWrap w:val="0"/>
            <w:vAlign w:val="center"/>
          </w:tcPr>
          <w:p>
            <w:pPr>
              <w:widowControl/>
              <w:spacing w:line="360" w:lineRule="exact"/>
              <w:jc w:val="center"/>
              <w:rPr>
                <w:rFonts w:hint="eastAsia" w:ascii="宋体" w:hAnsi="宋体" w:cs="宋体"/>
                <w:b/>
                <w:kern w:val="0"/>
                <w:sz w:val="21"/>
                <w:szCs w:val="21"/>
              </w:rPr>
            </w:pPr>
            <w:r>
              <w:rPr>
                <w:rFonts w:hint="eastAsia" w:ascii="宋体" w:hAnsi="宋体" w:cs="宋体"/>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项目名称</w:t>
            </w:r>
          </w:p>
        </w:tc>
        <w:tc>
          <w:tcPr>
            <w:tcW w:w="5866" w:type="dxa"/>
            <w:noWrap w:val="0"/>
            <w:vAlign w:val="center"/>
          </w:tcPr>
          <w:p>
            <w:pPr>
              <w:snapToGrid w:val="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皖南医学院楼宇钢网架等安全检测鉴定项目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2.2</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采购人</w:t>
            </w:r>
          </w:p>
        </w:tc>
        <w:tc>
          <w:tcPr>
            <w:tcW w:w="5866"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招标人名称：</w:t>
            </w:r>
            <w:r>
              <w:rPr>
                <w:rFonts w:hint="eastAsia" w:ascii="宋体" w:hAnsi="宋体" w:cs="宋体"/>
                <w:sz w:val="21"/>
                <w:szCs w:val="21"/>
              </w:rPr>
              <w:t>皖南医学院</w:t>
            </w:r>
          </w:p>
          <w:p>
            <w:pPr>
              <w:jc w:val="left"/>
              <w:rPr>
                <w:rFonts w:hint="eastAsia" w:ascii="宋体" w:hAnsi="宋体" w:cs="宋体"/>
                <w:kern w:val="0"/>
                <w:sz w:val="21"/>
                <w:szCs w:val="21"/>
              </w:rPr>
            </w:pPr>
            <w:r>
              <w:rPr>
                <w:rFonts w:hint="eastAsia" w:ascii="宋体" w:hAnsi="宋体" w:cs="宋体"/>
                <w:kern w:val="0"/>
                <w:sz w:val="21"/>
                <w:szCs w:val="21"/>
              </w:rPr>
              <w:t xml:space="preserve">联系人：赵老师   </w:t>
            </w:r>
            <w:r>
              <w:rPr>
                <w:rFonts w:hint="eastAsia" w:ascii="宋体" w:hAnsi="宋体" w:cs="宋体"/>
                <w:b/>
                <w:kern w:val="0"/>
                <w:sz w:val="21"/>
                <w:szCs w:val="21"/>
              </w:rPr>
              <w:t xml:space="preserve"> </w:t>
            </w:r>
            <w:r>
              <w:rPr>
                <w:rFonts w:hint="eastAsia" w:ascii="宋体" w:hAnsi="宋体" w:cs="宋体"/>
                <w:kern w:val="0"/>
                <w:sz w:val="21"/>
                <w:szCs w:val="21"/>
              </w:rPr>
              <w:t xml:space="preserve"> 电话：0553-3932052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2.3</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招标范围</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2.4</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项目工期要求</w:t>
            </w:r>
          </w:p>
        </w:tc>
        <w:tc>
          <w:tcPr>
            <w:tcW w:w="5866" w:type="dxa"/>
            <w:noWrap w:val="0"/>
            <w:vAlign w:val="center"/>
          </w:tcPr>
          <w:p>
            <w:pPr>
              <w:widowControl/>
              <w:snapToGrid w:val="0"/>
              <w:jc w:val="left"/>
              <w:rPr>
                <w:rFonts w:hint="eastAsia" w:ascii="宋体" w:hAnsi="宋体" w:cs="宋体"/>
                <w:kern w:val="0"/>
                <w:sz w:val="21"/>
                <w:szCs w:val="21"/>
              </w:rPr>
            </w:pPr>
            <w:r>
              <w:rPr>
                <w:rFonts w:hint="eastAsia" w:ascii="宋体" w:hAnsi="宋体" w:cs="宋体"/>
                <w:kern w:val="0"/>
                <w:sz w:val="21"/>
                <w:szCs w:val="21"/>
              </w:rPr>
              <w:t>（详见第五章）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2.5</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投标人资质条件、能力和信誉</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2.6</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现场踏勘</w:t>
            </w:r>
          </w:p>
        </w:tc>
        <w:tc>
          <w:tcPr>
            <w:tcW w:w="5866" w:type="dxa"/>
            <w:noWrap w:val="0"/>
            <w:vAlign w:val="center"/>
          </w:tcPr>
          <w:p>
            <w:pPr>
              <w:pStyle w:val="26"/>
              <w:ind w:left="0" w:leftChars="0" w:firstLine="0" w:firstLineChars="0"/>
              <w:rPr>
                <w:rFonts w:hint="default"/>
                <w:lang w:val="en-US" w:eastAsia="zh-CN"/>
              </w:rPr>
            </w:pPr>
            <w:r>
              <w:rPr>
                <w:rFonts w:hint="eastAsia" w:ascii="宋体" w:hAnsi="宋体" w:eastAsia="宋体" w:cs="宋体"/>
                <w:spacing w:val="-4"/>
                <w:kern w:val="0"/>
                <w:sz w:val="21"/>
                <w:szCs w:val="21"/>
                <w:lang w:val="en-US" w:eastAsia="zh-CN" w:bidi="ar-SA"/>
              </w:rPr>
              <w:t>组织形式：</w:t>
            </w:r>
            <w:r>
              <w:rPr>
                <w:rFonts w:hint="eastAsia" w:hAnsi="宋体" w:cs="宋体"/>
                <w:spacing w:val="-4"/>
                <w:kern w:val="0"/>
                <w:sz w:val="21"/>
                <w:szCs w:val="21"/>
                <w:lang w:val="en-US" w:eastAsia="zh-CN" w:bidi="ar-SA"/>
              </w:rPr>
              <w:t>视频</w:t>
            </w:r>
            <w:r>
              <w:rPr>
                <w:rFonts w:hint="eastAsia" w:ascii="宋体" w:hAnsi="宋体" w:eastAsia="宋体" w:cs="宋体"/>
                <w:spacing w:val="-4"/>
                <w:kern w:val="0"/>
                <w:sz w:val="21"/>
                <w:szCs w:val="21"/>
                <w:lang w:val="en-US" w:eastAsia="zh-CN" w:bidi="ar-SA"/>
              </w:rPr>
              <w:t>踏勘</w:t>
            </w:r>
            <w:r>
              <w:rPr>
                <w:rFonts w:hint="eastAsia" w:hAnsi="宋体" w:cs="宋体"/>
                <w:spacing w:val="-4"/>
                <w:kern w:val="0"/>
                <w:sz w:val="21"/>
                <w:szCs w:val="21"/>
                <w:lang w:val="en-US" w:eastAsia="zh-CN" w:bidi="ar-SA"/>
              </w:rPr>
              <w:t>，踏勘视频见附件。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2.7</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分包</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不允许分包。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2.8</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磋商保证金</w:t>
            </w:r>
          </w:p>
        </w:tc>
        <w:tc>
          <w:tcPr>
            <w:tcW w:w="5866" w:type="dxa"/>
            <w:noWrap w:val="0"/>
            <w:vAlign w:val="center"/>
          </w:tcPr>
          <w:p>
            <w:pPr>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2.9</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磋商保证金的退付</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2.10</w:t>
            </w:r>
          </w:p>
        </w:tc>
        <w:tc>
          <w:tcPr>
            <w:tcW w:w="2249"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是否允许递交备选投标方案</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2.11</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签字或盖章要求</w:t>
            </w:r>
          </w:p>
        </w:tc>
        <w:tc>
          <w:tcPr>
            <w:tcW w:w="5866"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响应文件的内容均须经投标人法定代表人或其授权的代理人签字或盖章确认。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2.12</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投标文件份数</w:t>
            </w:r>
          </w:p>
        </w:tc>
        <w:tc>
          <w:tcPr>
            <w:tcW w:w="5866" w:type="dxa"/>
            <w:noWrap w:val="0"/>
            <w:vAlign w:val="center"/>
          </w:tcPr>
          <w:p>
            <w:pPr>
              <w:jc w:val="left"/>
              <w:rPr>
                <w:rFonts w:hint="eastAsia" w:ascii="宋体" w:hAnsi="宋体" w:cs="宋体"/>
                <w:sz w:val="21"/>
                <w:szCs w:val="21"/>
              </w:rPr>
            </w:pPr>
            <w:r>
              <w:rPr>
                <w:rFonts w:hint="eastAsia" w:ascii="宋体" w:hAnsi="宋体" w:cs="宋体"/>
                <w:sz w:val="21"/>
                <w:szCs w:val="21"/>
              </w:rPr>
              <w:t>正本1份，副本2份。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2.13</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递交响应文件时间、地点</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2.14</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递交响应文件截止和开标时间、地点、开标条件</w:t>
            </w:r>
          </w:p>
        </w:tc>
        <w:tc>
          <w:tcPr>
            <w:tcW w:w="5866" w:type="dxa"/>
            <w:noWrap w:val="0"/>
            <w:vAlign w:val="center"/>
          </w:tcPr>
          <w:p>
            <w:pPr>
              <w:jc w:val="left"/>
              <w:rPr>
                <w:rFonts w:hint="eastAsia" w:ascii="宋体" w:hAnsi="宋体" w:cs="宋体"/>
                <w:kern w:val="0"/>
                <w:sz w:val="21"/>
                <w:szCs w:val="21"/>
              </w:rPr>
            </w:pPr>
            <w:r>
              <w:rPr>
                <w:rFonts w:hint="eastAsia" w:ascii="宋体" w:hAnsi="宋体" w:cs="宋体"/>
                <w:kern w:val="0"/>
                <w:sz w:val="21"/>
                <w:szCs w:val="21"/>
              </w:rPr>
              <w:t>投标截止和开标时间、地点：详见磋商公告</w:t>
            </w:r>
          </w:p>
          <w:p>
            <w:pPr>
              <w:jc w:val="left"/>
              <w:rPr>
                <w:rFonts w:hint="eastAsia" w:ascii="宋体" w:hAnsi="宋体" w:cs="宋体"/>
                <w:b/>
                <w:kern w:val="0"/>
                <w:sz w:val="21"/>
                <w:szCs w:val="21"/>
              </w:rPr>
            </w:pPr>
            <w:r>
              <w:rPr>
                <w:rFonts w:hint="eastAsia" w:ascii="宋体" w:hAnsi="宋体" w:cs="宋体"/>
                <w:kern w:val="0"/>
                <w:sz w:val="21"/>
                <w:szCs w:val="21"/>
              </w:rPr>
              <w:t>开标条件：</w:t>
            </w:r>
            <w:r>
              <w:rPr>
                <w:rFonts w:hint="eastAsia" w:ascii="宋体" w:hAnsi="宋体" w:cs="宋体"/>
                <w:b/>
                <w:kern w:val="0"/>
                <w:sz w:val="21"/>
                <w:szCs w:val="21"/>
              </w:rPr>
              <w:t>递交响应提供下列文件，否则投标人的投标文件不予接收：</w:t>
            </w:r>
          </w:p>
          <w:p>
            <w:pPr>
              <w:jc w:val="left"/>
              <w:rPr>
                <w:rFonts w:hint="eastAsia" w:ascii="宋体" w:hAnsi="宋体" w:cs="宋体"/>
                <w:kern w:val="0"/>
                <w:sz w:val="21"/>
                <w:szCs w:val="21"/>
              </w:rPr>
            </w:pPr>
            <w:r>
              <w:rPr>
                <w:rFonts w:hint="eastAsia" w:ascii="宋体" w:hAnsi="宋体" w:cs="宋体"/>
                <w:b/>
                <w:kern w:val="0"/>
                <w:sz w:val="21"/>
                <w:szCs w:val="21"/>
              </w:rPr>
              <w:t>（1）法定代表人或授权委托人身份证明、法定代表人授权委托书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2.15</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合同履约担保</w:t>
            </w:r>
          </w:p>
        </w:tc>
        <w:tc>
          <w:tcPr>
            <w:tcW w:w="5866" w:type="dxa"/>
            <w:noWrap w:val="0"/>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履约担保的金额：</w:t>
            </w:r>
            <w:r>
              <w:rPr>
                <w:rFonts w:hint="eastAsia" w:ascii="宋体" w:hAnsi="宋体" w:cs="宋体"/>
                <w:kern w:val="0"/>
                <w:sz w:val="21"/>
                <w:szCs w:val="21"/>
                <w:lang w:val="en-US" w:eastAsia="zh-CN"/>
              </w:rPr>
              <w:t>5000</w:t>
            </w:r>
            <w:r>
              <w:rPr>
                <w:rFonts w:hint="eastAsia" w:ascii="宋体" w:hAnsi="宋体" w:eastAsia="宋体" w:cs="宋体"/>
                <w:kern w:val="0"/>
                <w:sz w:val="21"/>
                <w:szCs w:val="21"/>
              </w:rPr>
              <w:t>元。</w:t>
            </w:r>
          </w:p>
          <w:p>
            <w:pPr>
              <w:jc w:val="left"/>
              <w:rPr>
                <w:rFonts w:hint="eastAsia" w:ascii="宋体" w:hAnsi="宋体" w:cs="宋体"/>
                <w:kern w:val="0"/>
                <w:sz w:val="21"/>
                <w:szCs w:val="21"/>
              </w:rPr>
            </w:pPr>
            <w:r>
              <w:rPr>
                <w:rFonts w:hint="eastAsia" w:ascii="宋体" w:hAnsi="宋体" w:cs="宋体"/>
                <w:kern w:val="0"/>
                <w:sz w:val="21"/>
                <w:szCs w:val="21"/>
              </w:rPr>
              <w:t>开 户 名：</w:t>
            </w:r>
            <w:r>
              <w:rPr>
                <w:rFonts w:hint="eastAsia" w:ascii="宋体" w:hAnsi="宋体" w:cs="宋体"/>
                <w:b/>
                <w:kern w:val="0"/>
                <w:sz w:val="21"/>
                <w:szCs w:val="21"/>
              </w:rPr>
              <w:t>皖南医学院</w:t>
            </w:r>
          </w:p>
          <w:p>
            <w:pPr>
              <w:jc w:val="left"/>
              <w:rPr>
                <w:rFonts w:hint="eastAsia" w:ascii="宋体" w:hAnsi="宋体" w:cs="宋体"/>
                <w:b/>
                <w:kern w:val="0"/>
                <w:sz w:val="21"/>
                <w:szCs w:val="21"/>
              </w:rPr>
            </w:pPr>
            <w:r>
              <w:rPr>
                <w:rFonts w:hint="eastAsia" w:ascii="宋体" w:hAnsi="宋体" w:cs="宋体"/>
                <w:kern w:val="0"/>
                <w:sz w:val="21"/>
                <w:szCs w:val="21"/>
              </w:rPr>
              <w:t>开户银行：</w:t>
            </w:r>
            <w:r>
              <w:rPr>
                <w:rFonts w:hint="eastAsia" w:ascii="宋体" w:hAnsi="宋体" w:cs="宋体"/>
                <w:b/>
                <w:sz w:val="21"/>
                <w:szCs w:val="21"/>
              </w:rPr>
              <w:t>安徽省芜湖市建行中山路支行</w:t>
            </w:r>
          </w:p>
          <w:p>
            <w:pPr>
              <w:pStyle w:val="26"/>
              <w:ind w:left="0" w:leftChars="0" w:firstLine="0" w:firstLineChars="0"/>
              <w:rPr>
                <w:rFonts w:hint="eastAsia"/>
              </w:rPr>
            </w:pPr>
            <w:r>
              <w:rPr>
                <w:rFonts w:hint="eastAsia" w:ascii="宋体" w:hAnsi="宋体" w:cs="宋体"/>
                <w:kern w:val="0"/>
                <w:sz w:val="21"/>
                <w:szCs w:val="21"/>
              </w:rPr>
              <w:t>帐　　号：</w:t>
            </w:r>
            <w:r>
              <w:rPr>
                <w:rFonts w:hint="eastAsia" w:ascii="宋体" w:hAnsi="宋体" w:cs="宋体"/>
                <w:b/>
                <w:sz w:val="21"/>
                <w:szCs w:val="21"/>
              </w:rPr>
              <w:t>34001672208050139762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2.16</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履约保证金交纳及退付</w:t>
            </w:r>
          </w:p>
        </w:tc>
        <w:tc>
          <w:tcPr>
            <w:tcW w:w="5866" w:type="dxa"/>
            <w:noWrap w:val="0"/>
            <w:vAlign w:val="center"/>
          </w:tcPr>
          <w:p>
            <w:pPr>
              <w:jc w:val="left"/>
              <w:rPr>
                <w:rFonts w:hint="eastAsia" w:ascii="宋体" w:hAnsi="宋体" w:cs="宋体"/>
                <w:kern w:val="0"/>
                <w:sz w:val="21"/>
                <w:szCs w:val="21"/>
              </w:rPr>
            </w:pPr>
            <w:r>
              <w:rPr>
                <w:rFonts w:hint="eastAsia" w:ascii="宋体" w:hAnsi="宋体" w:cs="宋体"/>
                <w:kern w:val="0"/>
                <w:sz w:val="21"/>
                <w:szCs w:val="21"/>
              </w:rPr>
              <w:t>中标后在中标公示结束后3日内</w:t>
            </w:r>
            <w:r>
              <w:rPr>
                <w:rFonts w:hint="eastAsia" w:ascii="宋体" w:hAnsi="宋体" w:cs="宋体"/>
                <w:kern w:val="0"/>
                <w:sz w:val="21"/>
                <w:szCs w:val="21"/>
                <w:lang w:val="en-US" w:eastAsia="zh-CN"/>
              </w:rPr>
              <w:t>缴纳</w:t>
            </w:r>
            <w:r>
              <w:rPr>
                <w:rFonts w:hint="eastAsia" w:ascii="宋体" w:hAnsi="宋体" w:cs="宋体"/>
                <w:kern w:val="0"/>
                <w:sz w:val="21"/>
                <w:szCs w:val="21"/>
              </w:rPr>
              <w:t>，中标人须提供书面材料确认。</w:t>
            </w:r>
          </w:p>
          <w:p>
            <w:pPr>
              <w:jc w:val="left"/>
              <w:rPr>
                <w:rFonts w:hint="eastAsia" w:ascii="宋体" w:hAnsi="宋体" w:cs="宋体"/>
                <w:kern w:val="0"/>
                <w:sz w:val="21"/>
                <w:szCs w:val="21"/>
              </w:rPr>
            </w:pPr>
            <w:r>
              <w:rPr>
                <w:rFonts w:hint="eastAsia" w:ascii="宋体" w:hAnsi="宋体" w:cs="宋体"/>
                <w:kern w:val="0"/>
                <w:sz w:val="21"/>
                <w:szCs w:val="21"/>
              </w:rPr>
              <w:t>履约保证金的退付程序为：项目实施完毕，验收合格后，中标人填写履约保证金退付申请表，待招标人审核后，直接无息退还中标人。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1"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2.17</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磋商有效期</w:t>
            </w:r>
          </w:p>
        </w:tc>
        <w:tc>
          <w:tcPr>
            <w:tcW w:w="5866" w:type="dxa"/>
            <w:noWrap w:val="0"/>
            <w:vAlign w:val="center"/>
          </w:tcPr>
          <w:p>
            <w:pPr>
              <w:spacing w:line="360" w:lineRule="exact"/>
              <w:jc w:val="left"/>
              <w:rPr>
                <w:rFonts w:hint="eastAsia" w:ascii="宋体" w:hAnsi="宋体" w:cs="宋体"/>
                <w:kern w:val="0"/>
                <w:sz w:val="21"/>
                <w:szCs w:val="21"/>
              </w:rPr>
            </w:pPr>
            <w:r>
              <w:rPr>
                <w:rFonts w:hint="eastAsia" w:ascii="宋体" w:hAnsi="宋体" w:cs="宋体"/>
                <w:kern w:val="0"/>
                <w:sz w:val="21"/>
                <w:szCs w:val="21"/>
              </w:rPr>
              <w:t>自磋商之日起30天内。</w:t>
            </w:r>
          </w:p>
        </w:tc>
      </w:tr>
    </w:tbl>
    <w:p>
      <w:pPr>
        <w:jc w:val="center"/>
        <w:rPr>
          <w:rFonts w:ascii="华文中宋" w:hAnsi="华文中宋" w:eastAsia="华文中宋"/>
          <w:b/>
          <w:bCs/>
          <w:sz w:val="36"/>
          <w:szCs w:val="36"/>
        </w:rPr>
      </w:pPr>
      <w:bookmarkStart w:id="2" w:name="_Toc49763001"/>
      <w:r>
        <w:rPr>
          <w:rFonts w:hint="eastAsia" w:ascii="宋体" w:hAnsi="宋体" w:cs="宋体"/>
          <w:sz w:val="24"/>
          <w:szCs w:val="24"/>
        </w:rPr>
        <w:br w:type="page"/>
      </w:r>
      <w:r>
        <w:rPr>
          <w:rFonts w:hint="eastAsia" w:ascii="华文中宋" w:hAnsi="华文中宋" w:eastAsia="华文中宋"/>
          <w:b/>
          <w:bCs/>
          <w:sz w:val="36"/>
          <w:szCs w:val="36"/>
        </w:rPr>
        <w:t>第三章  磋商须知</w:t>
      </w:r>
      <w:bookmarkEnd w:id="2"/>
    </w:p>
    <w:p>
      <w:pPr>
        <w:adjustRightInd w:val="0"/>
        <w:snapToGrid w:val="0"/>
        <w:spacing w:line="360" w:lineRule="auto"/>
        <w:ind w:firstLine="480" w:firstLineChars="200"/>
        <w:rPr>
          <w:rFonts w:hint="eastAsia" w:ascii="宋体" w:hAnsi="宋体" w:cs="宋体"/>
          <w:sz w:val="24"/>
          <w:szCs w:val="24"/>
        </w:rPr>
      </w:pPr>
      <w:bookmarkStart w:id="3" w:name="_Toc403987205"/>
      <w:bookmarkStart w:id="4" w:name="_Toc120614214"/>
      <w:bookmarkStart w:id="5" w:name="_Toc20823275"/>
      <w:bookmarkStart w:id="6" w:name="_Toc513029203"/>
      <w:bookmarkStart w:id="7" w:name="_Toc16938519"/>
      <w:r>
        <w:rPr>
          <w:rFonts w:hint="eastAsia" w:ascii="宋体" w:hAnsi="宋体" w:cs="宋体"/>
          <w:sz w:val="24"/>
          <w:szCs w:val="24"/>
        </w:rPr>
        <w:t>一、总则</w:t>
      </w:r>
      <w:bookmarkEnd w:id="3"/>
      <w:bookmarkEnd w:id="4"/>
      <w:bookmarkEnd w:id="5"/>
      <w:bookmarkEnd w:id="6"/>
      <w:bookmarkEnd w:id="7"/>
    </w:p>
    <w:p>
      <w:pPr>
        <w:adjustRightInd w:val="0"/>
        <w:snapToGrid w:val="0"/>
        <w:spacing w:line="360" w:lineRule="auto"/>
        <w:ind w:firstLine="480" w:firstLineChars="200"/>
        <w:rPr>
          <w:rFonts w:hint="eastAsia" w:ascii="宋体" w:hAnsi="宋体" w:cs="宋体"/>
          <w:sz w:val="24"/>
          <w:szCs w:val="24"/>
        </w:rPr>
      </w:pPr>
      <w:bookmarkStart w:id="8" w:name="_Hlt16619475"/>
      <w:bookmarkEnd w:id="8"/>
      <w:bookmarkStart w:id="9" w:name="_Toc16938520"/>
      <w:bookmarkStart w:id="10" w:name="_Toc20823276"/>
      <w:bookmarkStart w:id="11" w:name="_Toc513029204"/>
      <w:r>
        <w:rPr>
          <w:rFonts w:hint="eastAsia" w:ascii="宋体" w:hAnsi="宋体" w:cs="宋体"/>
          <w:sz w:val="24"/>
          <w:szCs w:val="24"/>
        </w:rPr>
        <w:t>（一）采购方式</w:t>
      </w:r>
      <w:bookmarkEnd w:id="9"/>
      <w:bookmarkEnd w:id="10"/>
      <w:bookmarkEnd w:id="11"/>
      <w:r>
        <w:rPr>
          <w:rFonts w:hint="eastAsia" w:ascii="宋体" w:hAnsi="宋体" w:cs="宋体"/>
          <w:sz w:val="24"/>
          <w:szCs w:val="24"/>
        </w:rPr>
        <w:t>及定义</w:t>
      </w:r>
    </w:p>
    <w:p>
      <w:pPr>
        <w:pStyle w:val="39"/>
        <w:snapToGrid w:val="0"/>
        <w:rPr>
          <w:rFonts w:hint="eastAsia" w:hAnsi="宋体" w:eastAsia="宋体"/>
          <w:sz w:val="24"/>
          <w:szCs w:val="24"/>
        </w:rPr>
      </w:pPr>
      <w:r>
        <w:rPr>
          <w:rFonts w:hint="eastAsia" w:hAnsi="宋体" w:eastAsia="宋体"/>
          <w:sz w:val="24"/>
          <w:szCs w:val="24"/>
        </w:rPr>
        <w:t>1.本次采购采用磋商方式，本磋商文件仅适用于磋商公告中所述项目。</w:t>
      </w:r>
    </w:p>
    <w:p>
      <w:pPr>
        <w:pStyle w:val="39"/>
        <w:snapToGrid w:val="0"/>
        <w:rPr>
          <w:rFonts w:hint="eastAsia" w:hAnsi="宋体" w:eastAsia="宋体"/>
          <w:sz w:val="24"/>
          <w:szCs w:val="24"/>
        </w:rPr>
      </w:pPr>
      <w:r>
        <w:rPr>
          <w:rFonts w:hint="eastAsia" w:hAnsi="宋体" w:eastAsia="宋体"/>
          <w:sz w:val="24"/>
          <w:szCs w:val="24"/>
        </w:rPr>
        <w:t>2采购人指本项目的需求方皖南医学院。</w:t>
      </w:r>
    </w:p>
    <w:p>
      <w:pPr>
        <w:adjustRightInd w:val="0"/>
        <w:snapToGrid w:val="0"/>
        <w:spacing w:line="360" w:lineRule="auto"/>
        <w:ind w:firstLine="480" w:firstLineChars="200"/>
        <w:rPr>
          <w:rFonts w:hint="eastAsia" w:ascii="宋体" w:hAnsi="宋体" w:cs="宋体"/>
          <w:sz w:val="24"/>
          <w:szCs w:val="24"/>
        </w:rPr>
      </w:pPr>
      <w:bookmarkStart w:id="12" w:name="_Toc513029205"/>
      <w:bookmarkStart w:id="13" w:name="_Toc20823277"/>
      <w:bookmarkStart w:id="14" w:name="_Toc16938521"/>
      <w:r>
        <w:rPr>
          <w:rFonts w:hint="eastAsia" w:ascii="宋体" w:hAnsi="宋体" w:cs="宋体"/>
          <w:sz w:val="24"/>
          <w:szCs w:val="24"/>
        </w:rPr>
        <w:t>3.合格的供应商</w:t>
      </w:r>
      <w:bookmarkEnd w:id="12"/>
      <w:bookmarkEnd w:id="13"/>
      <w:bookmarkEnd w:id="14"/>
      <w:r>
        <w:rPr>
          <w:rFonts w:hint="eastAsia" w:ascii="宋体" w:hAnsi="宋体" w:cs="宋体"/>
          <w:sz w:val="24"/>
          <w:szCs w:val="24"/>
        </w:rPr>
        <w:tab/>
      </w:r>
    </w:p>
    <w:p>
      <w:pPr>
        <w:pStyle w:val="39"/>
        <w:snapToGrid w:val="0"/>
        <w:ind w:left="560" w:firstLine="0" w:firstLineChars="0"/>
        <w:rPr>
          <w:rFonts w:hint="eastAsia" w:hAnsi="宋体" w:eastAsia="宋体"/>
          <w:sz w:val="24"/>
          <w:szCs w:val="24"/>
        </w:rPr>
      </w:pPr>
      <w:r>
        <w:rPr>
          <w:rFonts w:hint="eastAsia" w:hAnsi="宋体" w:eastAsia="宋体"/>
          <w:sz w:val="24"/>
          <w:szCs w:val="24"/>
        </w:rPr>
        <w:t>（1）满足磋商公告中供应商的资格条件的规定。</w:t>
      </w:r>
    </w:p>
    <w:p>
      <w:pPr>
        <w:pStyle w:val="39"/>
        <w:snapToGrid w:val="0"/>
        <w:rPr>
          <w:rFonts w:hint="eastAsia" w:hAnsi="宋体" w:eastAsia="宋体"/>
          <w:sz w:val="24"/>
          <w:szCs w:val="24"/>
        </w:rPr>
      </w:pPr>
      <w:r>
        <w:rPr>
          <w:rFonts w:hint="eastAsia" w:hAnsi="宋体" w:eastAsia="宋体"/>
          <w:sz w:val="24"/>
          <w:szCs w:val="24"/>
        </w:rPr>
        <w:t>（2）满足本文件实质性条款的规定。</w:t>
      </w:r>
    </w:p>
    <w:p>
      <w:pPr>
        <w:adjustRightInd w:val="0"/>
        <w:snapToGrid w:val="0"/>
        <w:spacing w:line="360" w:lineRule="auto"/>
        <w:ind w:firstLine="480" w:firstLineChars="200"/>
        <w:rPr>
          <w:rFonts w:hint="eastAsia" w:ascii="宋体" w:hAnsi="宋体" w:cs="宋体"/>
          <w:sz w:val="24"/>
          <w:szCs w:val="24"/>
        </w:rPr>
      </w:pPr>
      <w:bookmarkStart w:id="15" w:name="_Toc16938522"/>
      <w:bookmarkStart w:id="16" w:name="_Toc513029206"/>
      <w:bookmarkStart w:id="17" w:name="_Toc20823278"/>
      <w:r>
        <w:rPr>
          <w:rFonts w:hint="eastAsia" w:ascii="宋体" w:hAnsi="宋体" w:cs="宋体"/>
          <w:sz w:val="24"/>
          <w:szCs w:val="24"/>
        </w:rPr>
        <w:t>4.适用法律</w:t>
      </w:r>
      <w:bookmarkEnd w:id="15"/>
      <w:bookmarkEnd w:id="16"/>
      <w:bookmarkEnd w:id="17"/>
    </w:p>
    <w:p>
      <w:pPr>
        <w:pStyle w:val="39"/>
        <w:snapToGrid w:val="0"/>
        <w:rPr>
          <w:rFonts w:hint="eastAsia" w:hAnsi="宋体" w:eastAsia="宋体"/>
          <w:sz w:val="24"/>
          <w:szCs w:val="24"/>
        </w:rPr>
      </w:pPr>
      <w:r>
        <w:rPr>
          <w:rFonts w:hint="eastAsia" w:hAnsi="宋体" w:eastAsia="宋体"/>
          <w:sz w:val="24"/>
          <w:szCs w:val="24"/>
        </w:rPr>
        <w:t>本次磋商及由此产生的合同受中华人民共和国有关的法律法规制约和保护。</w:t>
      </w:r>
    </w:p>
    <w:p>
      <w:pPr>
        <w:adjustRightInd w:val="0"/>
        <w:snapToGrid w:val="0"/>
        <w:spacing w:line="360" w:lineRule="auto"/>
        <w:ind w:firstLine="480" w:firstLineChars="200"/>
        <w:rPr>
          <w:rFonts w:hint="eastAsia" w:ascii="宋体" w:hAnsi="宋体" w:cs="宋体"/>
          <w:sz w:val="24"/>
          <w:szCs w:val="24"/>
        </w:rPr>
      </w:pPr>
      <w:bookmarkStart w:id="18" w:name="_Toc462564067"/>
      <w:bookmarkStart w:id="19" w:name="_Toc513029207"/>
      <w:bookmarkStart w:id="20" w:name="_Toc20823279"/>
      <w:bookmarkStart w:id="21" w:name="_Toc16938523"/>
      <w:r>
        <w:rPr>
          <w:rFonts w:hint="eastAsia" w:ascii="宋体" w:hAnsi="宋体" w:cs="宋体"/>
          <w:sz w:val="24"/>
          <w:szCs w:val="24"/>
        </w:rPr>
        <w:t>5.磋商费用</w:t>
      </w:r>
      <w:bookmarkEnd w:id="18"/>
      <w:bookmarkEnd w:id="19"/>
      <w:bookmarkEnd w:id="20"/>
      <w:bookmarkEnd w:id="21"/>
    </w:p>
    <w:p>
      <w:pPr>
        <w:pStyle w:val="39"/>
        <w:snapToGrid w:val="0"/>
        <w:rPr>
          <w:rFonts w:hint="eastAsia" w:hAnsi="宋体" w:eastAsia="宋体"/>
          <w:sz w:val="24"/>
          <w:szCs w:val="24"/>
        </w:rPr>
      </w:pPr>
      <w:r>
        <w:rPr>
          <w:rFonts w:hint="eastAsia" w:hAnsi="宋体" w:eastAsia="宋体"/>
          <w:sz w:val="24"/>
          <w:szCs w:val="24"/>
        </w:rPr>
        <w:t>（1）供应商应自行承担所有与参加磋商有关的费用，无论磋商过程中的做法和结果如何，采购人在任何情况下均无义务和责任承担这些费用。</w:t>
      </w:r>
    </w:p>
    <w:p>
      <w:pPr>
        <w:pStyle w:val="39"/>
        <w:snapToGrid w:val="0"/>
        <w:rPr>
          <w:rFonts w:hint="eastAsia" w:hAnsi="宋体" w:eastAsia="宋体"/>
          <w:sz w:val="24"/>
          <w:szCs w:val="24"/>
        </w:rPr>
      </w:pPr>
      <w:r>
        <w:rPr>
          <w:rFonts w:hint="eastAsia" w:hAnsi="宋体" w:eastAsia="宋体"/>
          <w:sz w:val="24"/>
          <w:szCs w:val="24"/>
        </w:rPr>
        <w:t>（2）本次磋商采购人不收取文件工本费与成交服务费。</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6.磋商文件的约束力</w:t>
      </w:r>
    </w:p>
    <w:p>
      <w:pPr>
        <w:pStyle w:val="39"/>
        <w:snapToGrid w:val="0"/>
        <w:rPr>
          <w:rFonts w:hint="eastAsia" w:hAnsi="宋体" w:eastAsia="宋体"/>
          <w:sz w:val="24"/>
          <w:szCs w:val="24"/>
        </w:rPr>
      </w:pPr>
      <w:r>
        <w:rPr>
          <w:rFonts w:hint="eastAsia" w:hAnsi="宋体" w:eastAsia="宋体"/>
          <w:sz w:val="24"/>
          <w:szCs w:val="24"/>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360" w:lineRule="auto"/>
        <w:ind w:firstLine="480" w:firstLineChars="200"/>
        <w:rPr>
          <w:rFonts w:hint="eastAsia" w:ascii="宋体" w:hAnsi="宋体" w:cs="宋体"/>
          <w:sz w:val="24"/>
          <w:szCs w:val="24"/>
        </w:rPr>
      </w:pPr>
      <w:bookmarkStart w:id="22" w:name="_Toc20823281"/>
      <w:bookmarkStart w:id="23" w:name="_Toc403987206"/>
      <w:bookmarkStart w:id="24" w:name="_Toc513029209"/>
      <w:bookmarkStart w:id="25" w:name="_Toc16938525"/>
      <w:bookmarkStart w:id="26" w:name="_Toc120614215"/>
      <w:r>
        <w:rPr>
          <w:rFonts w:hint="eastAsia" w:ascii="宋体" w:hAnsi="宋体" w:cs="宋体"/>
          <w:sz w:val="24"/>
          <w:szCs w:val="24"/>
        </w:rPr>
        <w:t>（二）磋商文件</w:t>
      </w:r>
      <w:bookmarkEnd w:id="22"/>
      <w:bookmarkEnd w:id="23"/>
      <w:bookmarkEnd w:id="24"/>
      <w:bookmarkEnd w:id="25"/>
      <w:bookmarkEnd w:id="26"/>
    </w:p>
    <w:p>
      <w:pPr>
        <w:adjustRightInd w:val="0"/>
        <w:snapToGrid w:val="0"/>
        <w:spacing w:line="360" w:lineRule="auto"/>
        <w:ind w:firstLine="480" w:firstLineChars="200"/>
        <w:rPr>
          <w:rFonts w:hint="eastAsia" w:ascii="宋体" w:hAnsi="宋体" w:cs="宋体"/>
          <w:sz w:val="24"/>
          <w:szCs w:val="24"/>
        </w:rPr>
      </w:pPr>
      <w:bookmarkStart w:id="27" w:name="_Toc20823282"/>
      <w:bookmarkStart w:id="28" w:name="_Toc513029210"/>
      <w:bookmarkStart w:id="29" w:name="_Toc16938526"/>
      <w:r>
        <w:rPr>
          <w:rFonts w:hint="eastAsia" w:ascii="宋体" w:hAnsi="宋体" w:cs="宋体"/>
          <w:sz w:val="24"/>
          <w:szCs w:val="24"/>
        </w:rPr>
        <w:t>1.磋商文件构成</w:t>
      </w:r>
      <w:bookmarkEnd w:id="27"/>
      <w:bookmarkEnd w:id="28"/>
      <w:bookmarkEnd w:id="29"/>
    </w:p>
    <w:p>
      <w:pPr>
        <w:pStyle w:val="39"/>
        <w:snapToGrid w:val="0"/>
        <w:rPr>
          <w:rFonts w:hint="eastAsia" w:hAnsi="宋体" w:eastAsia="宋体"/>
          <w:sz w:val="24"/>
          <w:szCs w:val="24"/>
        </w:rPr>
      </w:pPr>
      <w:r>
        <w:rPr>
          <w:rFonts w:hint="eastAsia" w:hAnsi="宋体" w:eastAsia="宋体"/>
          <w:sz w:val="24"/>
          <w:szCs w:val="24"/>
        </w:rPr>
        <w:t>磋商文件有以下部分组成：</w:t>
      </w:r>
    </w:p>
    <w:p>
      <w:pPr>
        <w:pStyle w:val="39"/>
        <w:snapToGrid w:val="0"/>
        <w:rPr>
          <w:rFonts w:hint="eastAsia" w:hAnsi="宋体" w:eastAsia="宋体"/>
          <w:sz w:val="24"/>
          <w:szCs w:val="24"/>
        </w:rPr>
      </w:pPr>
      <w:r>
        <w:rPr>
          <w:rFonts w:hint="eastAsia" w:hAnsi="宋体" w:eastAsia="宋体"/>
          <w:sz w:val="24"/>
          <w:szCs w:val="24"/>
        </w:rPr>
        <w:t>（1）磋商公告</w:t>
      </w:r>
    </w:p>
    <w:p>
      <w:pPr>
        <w:pStyle w:val="39"/>
        <w:snapToGrid w:val="0"/>
        <w:rPr>
          <w:rFonts w:hint="eastAsia" w:hAnsi="宋体" w:eastAsia="宋体"/>
          <w:sz w:val="24"/>
          <w:szCs w:val="24"/>
        </w:rPr>
      </w:pPr>
      <w:r>
        <w:rPr>
          <w:rFonts w:hint="eastAsia" w:hAnsi="宋体" w:eastAsia="宋体"/>
          <w:sz w:val="24"/>
          <w:szCs w:val="24"/>
        </w:rPr>
        <w:t>（2）磋商须知前附表</w:t>
      </w:r>
    </w:p>
    <w:p>
      <w:pPr>
        <w:pStyle w:val="39"/>
        <w:snapToGrid w:val="0"/>
        <w:rPr>
          <w:rFonts w:hint="eastAsia" w:hAnsi="宋体" w:eastAsia="宋体"/>
          <w:sz w:val="24"/>
          <w:szCs w:val="24"/>
        </w:rPr>
      </w:pPr>
      <w:r>
        <w:rPr>
          <w:rFonts w:hint="eastAsia" w:hAnsi="宋体" w:eastAsia="宋体"/>
          <w:sz w:val="24"/>
          <w:szCs w:val="24"/>
        </w:rPr>
        <w:t>（3）磋商须知</w:t>
      </w:r>
    </w:p>
    <w:p>
      <w:pPr>
        <w:pStyle w:val="39"/>
        <w:snapToGrid w:val="0"/>
        <w:rPr>
          <w:rFonts w:hint="eastAsia" w:hAnsi="宋体" w:eastAsia="宋体"/>
          <w:sz w:val="24"/>
          <w:szCs w:val="24"/>
        </w:rPr>
      </w:pPr>
      <w:r>
        <w:rPr>
          <w:rFonts w:hint="eastAsia" w:hAnsi="宋体" w:eastAsia="宋体"/>
          <w:sz w:val="24"/>
          <w:szCs w:val="24"/>
        </w:rPr>
        <w:t>（4）合同主要条款</w:t>
      </w:r>
    </w:p>
    <w:p>
      <w:pPr>
        <w:pStyle w:val="39"/>
        <w:snapToGrid w:val="0"/>
        <w:rPr>
          <w:rFonts w:hint="eastAsia" w:hAnsi="宋体" w:eastAsia="宋体"/>
          <w:sz w:val="24"/>
          <w:szCs w:val="24"/>
        </w:rPr>
      </w:pPr>
      <w:r>
        <w:rPr>
          <w:rFonts w:hint="eastAsia" w:hAnsi="宋体" w:eastAsia="宋体"/>
          <w:sz w:val="24"/>
          <w:szCs w:val="24"/>
        </w:rPr>
        <w:t>（5）项目需求</w:t>
      </w:r>
    </w:p>
    <w:p>
      <w:pPr>
        <w:pStyle w:val="39"/>
        <w:snapToGrid w:val="0"/>
        <w:rPr>
          <w:rFonts w:hint="eastAsia" w:hAnsi="宋体" w:eastAsia="宋体"/>
          <w:sz w:val="24"/>
          <w:szCs w:val="24"/>
        </w:rPr>
      </w:pPr>
      <w:r>
        <w:rPr>
          <w:rFonts w:hint="eastAsia" w:hAnsi="宋体" w:eastAsia="宋体"/>
          <w:sz w:val="24"/>
          <w:szCs w:val="24"/>
        </w:rPr>
        <w:t>（6）评审标准</w:t>
      </w:r>
    </w:p>
    <w:p>
      <w:pPr>
        <w:pStyle w:val="39"/>
        <w:snapToGrid w:val="0"/>
        <w:rPr>
          <w:rFonts w:hint="eastAsia" w:hAnsi="宋体" w:eastAsia="宋体"/>
          <w:sz w:val="24"/>
          <w:szCs w:val="24"/>
        </w:rPr>
      </w:pPr>
      <w:r>
        <w:rPr>
          <w:rFonts w:hint="eastAsia" w:hAnsi="宋体" w:eastAsia="宋体"/>
          <w:sz w:val="24"/>
          <w:szCs w:val="24"/>
        </w:rPr>
        <w:t>（7）响应文件格式</w:t>
      </w:r>
    </w:p>
    <w:p>
      <w:pPr>
        <w:adjustRightInd w:val="0"/>
        <w:snapToGrid w:val="0"/>
        <w:spacing w:line="360" w:lineRule="auto"/>
        <w:ind w:firstLine="480" w:firstLineChars="200"/>
        <w:rPr>
          <w:rFonts w:hint="eastAsia" w:ascii="宋体" w:hAnsi="宋体" w:cs="宋体"/>
          <w:sz w:val="24"/>
          <w:szCs w:val="24"/>
        </w:rPr>
      </w:pPr>
      <w:bookmarkStart w:id="30" w:name="_Toc16938527"/>
      <w:bookmarkStart w:id="31" w:name="_Toc462564070"/>
      <w:bookmarkStart w:id="32" w:name="_Toc513029211"/>
      <w:bookmarkStart w:id="33" w:name="_Toc20823283"/>
      <w:r>
        <w:rPr>
          <w:rFonts w:hint="eastAsia" w:ascii="宋体" w:hAnsi="宋体" w:cs="宋体"/>
          <w:sz w:val="24"/>
          <w:szCs w:val="24"/>
        </w:rPr>
        <w:t>2.磋商文件的澄清</w:t>
      </w:r>
      <w:bookmarkEnd w:id="30"/>
      <w:bookmarkEnd w:id="31"/>
      <w:bookmarkEnd w:id="32"/>
      <w:bookmarkEnd w:id="33"/>
      <w:r>
        <w:rPr>
          <w:rFonts w:hint="eastAsia" w:ascii="宋体" w:hAnsi="宋体" w:cs="宋体"/>
          <w:sz w:val="24"/>
          <w:szCs w:val="24"/>
        </w:rPr>
        <w:t>及修改</w:t>
      </w:r>
    </w:p>
    <w:p>
      <w:pPr>
        <w:pStyle w:val="39"/>
        <w:snapToGrid w:val="0"/>
        <w:rPr>
          <w:rFonts w:hint="eastAsia" w:hAnsi="宋体" w:eastAsia="宋体"/>
          <w:sz w:val="24"/>
          <w:szCs w:val="24"/>
        </w:rPr>
      </w:pPr>
      <w:r>
        <w:rPr>
          <w:rFonts w:hint="eastAsia" w:hAnsi="宋体" w:eastAsia="宋体"/>
          <w:sz w:val="24"/>
          <w:szCs w:val="24"/>
        </w:rPr>
        <w:t>（1）任何要求对磋商文件进行澄清的供应商，均应在提交首次响应文件截止时间5日前按磋商公告中的通讯地址，以书面形式通知采购联系人，未在约定时间内对磋商文件提出质疑或其他要求的，视为对磋商文件无异议，我校不再接受任何对磋商文件的质疑或其他要求。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360" w:lineRule="auto"/>
        <w:ind w:firstLine="480" w:firstLineChars="200"/>
        <w:rPr>
          <w:rFonts w:hint="eastAsia" w:ascii="宋体" w:hAnsi="宋体" w:cs="宋体"/>
          <w:sz w:val="24"/>
          <w:szCs w:val="24"/>
        </w:rPr>
      </w:pPr>
      <w:bookmarkStart w:id="34" w:name="_Toc16938529"/>
      <w:bookmarkStart w:id="35" w:name="_Toc20823285"/>
      <w:bookmarkStart w:id="36" w:name="_Toc120614216"/>
      <w:bookmarkStart w:id="37" w:name="_Toc403987207"/>
      <w:bookmarkStart w:id="38" w:name="_Toc513029213"/>
      <w:bookmarkStart w:id="39" w:name="_Toc462564072"/>
      <w:r>
        <w:rPr>
          <w:rFonts w:hint="eastAsia" w:ascii="宋体" w:hAnsi="宋体" w:cs="宋体"/>
          <w:sz w:val="24"/>
          <w:szCs w:val="24"/>
        </w:rPr>
        <w:t>（三）响应文件的递交及编制</w:t>
      </w:r>
      <w:bookmarkEnd w:id="34"/>
      <w:bookmarkEnd w:id="35"/>
      <w:bookmarkEnd w:id="36"/>
      <w:bookmarkEnd w:id="37"/>
      <w:bookmarkEnd w:id="38"/>
      <w:bookmarkEnd w:id="39"/>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2.供应商应当按照磋商文件的要求编制响应文件，并</w:t>
      </w:r>
      <w:bookmarkStart w:id="40" w:name="我"/>
      <w:bookmarkEnd w:id="40"/>
      <w:r>
        <w:rPr>
          <w:rFonts w:hint="eastAsia" w:ascii="宋体" w:hAnsi="宋体" w:cs="宋体"/>
          <w:sz w:val="24"/>
          <w:szCs w:val="24"/>
        </w:rPr>
        <w:t>对其提交的响应文件的真实性、合法性承担法律责任。</w:t>
      </w:r>
    </w:p>
    <w:p>
      <w:pPr>
        <w:adjustRightInd w:val="0"/>
        <w:snapToGrid w:val="0"/>
        <w:spacing w:line="360" w:lineRule="auto"/>
        <w:ind w:firstLine="480" w:firstLineChars="200"/>
        <w:rPr>
          <w:rFonts w:hint="eastAsia" w:ascii="宋体" w:hAnsi="宋体" w:cs="宋体"/>
          <w:sz w:val="24"/>
          <w:szCs w:val="24"/>
        </w:rPr>
      </w:pPr>
      <w:bookmarkStart w:id="41" w:name="_Toc16938530"/>
      <w:bookmarkStart w:id="42" w:name="_Toc513029214"/>
      <w:bookmarkStart w:id="43" w:name="_Toc462564073"/>
      <w:bookmarkStart w:id="44" w:name="_Toc20823286"/>
      <w:r>
        <w:rPr>
          <w:rFonts w:hint="eastAsia" w:ascii="宋体" w:hAnsi="宋体" w:cs="宋体"/>
          <w:sz w:val="24"/>
          <w:szCs w:val="24"/>
        </w:rPr>
        <w:t>3.响应文件的语言及度量衡单位</w:t>
      </w:r>
      <w:bookmarkEnd w:id="41"/>
      <w:bookmarkEnd w:id="42"/>
      <w:bookmarkEnd w:id="43"/>
      <w:bookmarkEnd w:id="44"/>
    </w:p>
    <w:p>
      <w:pPr>
        <w:pStyle w:val="39"/>
        <w:snapToGrid w:val="0"/>
        <w:rPr>
          <w:rFonts w:hint="eastAsia" w:hAnsi="宋体" w:eastAsia="宋体"/>
          <w:sz w:val="24"/>
          <w:szCs w:val="24"/>
        </w:rPr>
      </w:pPr>
      <w:r>
        <w:rPr>
          <w:rFonts w:hint="eastAsia" w:hAnsi="宋体" w:eastAsia="宋体"/>
          <w:sz w:val="24"/>
          <w:szCs w:val="24"/>
        </w:rPr>
        <w:t>（1）供应商提交的响应文件以及供应商与我校就有关磋商的所有来往通知、函件和文件均应使用</w:t>
      </w:r>
      <w:r>
        <w:rPr>
          <w:rFonts w:hint="eastAsia" w:hAnsi="宋体" w:eastAsia="宋体"/>
          <w:bCs/>
          <w:sz w:val="24"/>
          <w:szCs w:val="24"/>
        </w:rPr>
        <w:t>简体中文</w:t>
      </w:r>
      <w:r>
        <w:rPr>
          <w:rFonts w:hint="eastAsia" w:hAnsi="宋体" w:eastAsia="宋体"/>
          <w:sz w:val="24"/>
          <w:szCs w:val="24"/>
        </w:rPr>
        <w:t>。</w:t>
      </w:r>
    </w:p>
    <w:p>
      <w:pPr>
        <w:pStyle w:val="39"/>
        <w:snapToGrid w:val="0"/>
        <w:rPr>
          <w:rFonts w:hint="eastAsia" w:hAnsi="宋体" w:eastAsia="宋体"/>
          <w:sz w:val="24"/>
          <w:szCs w:val="24"/>
        </w:rPr>
      </w:pPr>
      <w:r>
        <w:rPr>
          <w:rFonts w:hint="eastAsia" w:hAnsi="宋体" w:eastAsia="宋体"/>
          <w:sz w:val="24"/>
          <w:szCs w:val="24"/>
        </w:rPr>
        <w:t>（2）除技术性能另有规定外，响应文件所使用的度量衡单位，均须采用国家法定计量单位。</w:t>
      </w:r>
    </w:p>
    <w:p>
      <w:pPr>
        <w:adjustRightInd w:val="0"/>
        <w:snapToGrid w:val="0"/>
        <w:spacing w:line="360" w:lineRule="auto"/>
        <w:ind w:firstLine="480" w:firstLineChars="200"/>
        <w:rPr>
          <w:rFonts w:hint="eastAsia" w:ascii="宋体" w:hAnsi="宋体" w:cs="宋体"/>
          <w:sz w:val="24"/>
          <w:szCs w:val="24"/>
        </w:rPr>
      </w:pPr>
      <w:bookmarkStart w:id="45" w:name="_Toc16938531"/>
      <w:bookmarkStart w:id="46" w:name="_Toc462564074"/>
      <w:bookmarkStart w:id="47" w:name="_Toc20823287"/>
      <w:bookmarkStart w:id="48" w:name="_Toc513029215"/>
      <w:r>
        <w:rPr>
          <w:rFonts w:hint="eastAsia" w:ascii="宋体" w:hAnsi="宋体" w:cs="宋体"/>
          <w:sz w:val="24"/>
          <w:szCs w:val="24"/>
        </w:rPr>
        <w:t>4.响应文件构成</w:t>
      </w:r>
      <w:bookmarkEnd w:id="45"/>
      <w:bookmarkEnd w:id="46"/>
      <w:bookmarkEnd w:id="47"/>
      <w:bookmarkEnd w:id="48"/>
    </w:p>
    <w:p>
      <w:pPr>
        <w:pStyle w:val="39"/>
        <w:snapToGrid w:val="0"/>
        <w:rPr>
          <w:rFonts w:hint="eastAsia" w:hAnsi="宋体" w:eastAsia="宋体"/>
          <w:sz w:val="24"/>
          <w:szCs w:val="24"/>
        </w:rPr>
      </w:pPr>
      <w:r>
        <w:rPr>
          <w:rFonts w:hint="eastAsia" w:hAnsi="宋体" w:eastAsia="宋体"/>
          <w:sz w:val="24"/>
          <w:szCs w:val="24"/>
        </w:rPr>
        <w:t>（1）供应商应该按照磋商文件的要求编写响应文件应。</w:t>
      </w:r>
    </w:p>
    <w:p>
      <w:pPr>
        <w:pStyle w:val="39"/>
        <w:snapToGrid w:val="0"/>
        <w:rPr>
          <w:rFonts w:hint="eastAsia" w:hAnsi="宋体" w:eastAsia="宋体"/>
          <w:sz w:val="24"/>
          <w:szCs w:val="24"/>
        </w:rPr>
      </w:pPr>
      <w:r>
        <w:rPr>
          <w:rFonts w:hint="eastAsia" w:hAnsi="宋体" w:eastAsia="宋体"/>
          <w:sz w:val="24"/>
          <w:szCs w:val="24"/>
        </w:rPr>
        <w:t>（2）供应商应将响应文件按顺序装订成册，并编制响应文件资料目录。</w:t>
      </w:r>
    </w:p>
    <w:p>
      <w:pPr>
        <w:adjustRightInd w:val="0"/>
        <w:snapToGrid w:val="0"/>
        <w:spacing w:line="360" w:lineRule="auto"/>
        <w:ind w:firstLine="480" w:firstLineChars="200"/>
        <w:rPr>
          <w:rFonts w:hint="eastAsia" w:ascii="宋体" w:hAnsi="宋体" w:cs="宋体"/>
          <w:sz w:val="24"/>
          <w:szCs w:val="24"/>
        </w:rPr>
      </w:pPr>
      <w:bookmarkStart w:id="49" w:name="_Hlt26668975"/>
      <w:bookmarkEnd w:id="49"/>
      <w:bookmarkStart w:id="50" w:name="_Hlt26670360"/>
      <w:bookmarkEnd w:id="50"/>
      <w:bookmarkStart w:id="51" w:name="_Hlt26954838"/>
      <w:bookmarkEnd w:id="51"/>
      <w:bookmarkStart w:id="52" w:name="_Toc513029219"/>
      <w:bookmarkStart w:id="53" w:name="_Toc14577357"/>
      <w:bookmarkStart w:id="54" w:name="_Toc49090509"/>
      <w:bookmarkStart w:id="55" w:name="_Toc513029216"/>
      <w:bookmarkStart w:id="56" w:name="_Toc49090507"/>
      <w:bookmarkStart w:id="57" w:name="_Toc14577354"/>
      <w:r>
        <w:rPr>
          <w:rFonts w:hint="eastAsia" w:ascii="宋体" w:hAnsi="宋体" w:cs="宋体"/>
          <w:sz w:val="24"/>
          <w:szCs w:val="24"/>
        </w:rPr>
        <w:t>5.证明供应商资格及符合磋商文件规定的文件</w:t>
      </w:r>
      <w:bookmarkEnd w:id="52"/>
      <w:bookmarkEnd w:id="53"/>
      <w:bookmarkEnd w:id="54"/>
    </w:p>
    <w:p>
      <w:pPr>
        <w:pStyle w:val="39"/>
        <w:snapToGrid w:val="0"/>
        <w:rPr>
          <w:rFonts w:hint="eastAsia" w:hAnsi="宋体" w:eastAsia="宋体"/>
          <w:sz w:val="24"/>
          <w:szCs w:val="24"/>
        </w:rPr>
      </w:pPr>
      <w:bookmarkStart w:id="58" w:name="_Hlt26668999"/>
      <w:bookmarkEnd w:id="58"/>
      <w:r>
        <w:rPr>
          <w:rFonts w:hint="eastAsia" w:hAnsi="宋体" w:eastAsia="宋体"/>
          <w:sz w:val="24"/>
          <w:szCs w:val="24"/>
        </w:rPr>
        <w:t>（1）供应商应按要求提交资格证明文件及符合磋商文件规定的文件。</w:t>
      </w:r>
    </w:p>
    <w:p>
      <w:pPr>
        <w:pStyle w:val="39"/>
        <w:snapToGrid w:val="0"/>
        <w:rPr>
          <w:rFonts w:hint="eastAsia" w:hAnsi="宋体" w:eastAsia="宋体"/>
          <w:sz w:val="24"/>
          <w:szCs w:val="24"/>
        </w:rPr>
      </w:pPr>
      <w:r>
        <w:rPr>
          <w:rFonts w:hint="eastAsia" w:hAnsi="宋体" w:eastAsia="宋体"/>
          <w:sz w:val="24"/>
          <w:szCs w:val="24"/>
        </w:rPr>
        <w:t>（2）供应商除必须具有履行合同所需提供的货物以及服务的能力外，还必须具备相应的财务、技术方面的能力。</w:t>
      </w:r>
    </w:p>
    <w:bookmarkEnd w:id="55"/>
    <w:bookmarkEnd w:id="56"/>
    <w:bookmarkEnd w:id="57"/>
    <w:p>
      <w:pPr>
        <w:adjustRightInd w:val="0"/>
        <w:snapToGrid w:val="0"/>
        <w:spacing w:line="360" w:lineRule="auto"/>
        <w:ind w:firstLine="480" w:firstLineChars="200"/>
        <w:rPr>
          <w:rFonts w:hint="eastAsia" w:ascii="宋体" w:hAnsi="宋体" w:cs="宋体"/>
          <w:sz w:val="24"/>
          <w:szCs w:val="24"/>
        </w:rPr>
      </w:pPr>
      <w:bookmarkStart w:id="59" w:name="_Toc14577355"/>
      <w:bookmarkStart w:id="60" w:name="_Toc49090508"/>
      <w:r>
        <w:rPr>
          <w:rFonts w:hint="eastAsia" w:ascii="宋体" w:hAnsi="宋体" w:cs="宋体"/>
          <w:sz w:val="24"/>
          <w:szCs w:val="24"/>
        </w:rPr>
        <w:t>6.报价</w:t>
      </w:r>
      <w:bookmarkEnd w:id="59"/>
      <w:bookmarkStart w:id="61" w:name="_Hlt26670373"/>
      <w:bookmarkEnd w:id="61"/>
      <w:r>
        <w:rPr>
          <w:rFonts w:hint="eastAsia" w:ascii="宋体" w:hAnsi="宋体" w:cs="宋体"/>
          <w:sz w:val="24"/>
          <w:szCs w:val="24"/>
        </w:rPr>
        <w:t>明细表</w:t>
      </w:r>
      <w:bookmarkEnd w:id="60"/>
    </w:p>
    <w:p>
      <w:pPr>
        <w:adjustRightInd w:val="0"/>
        <w:snapToGrid w:val="0"/>
        <w:spacing w:line="360" w:lineRule="auto"/>
        <w:ind w:firstLine="480" w:firstLineChars="200"/>
        <w:rPr>
          <w:rFonts w:hint="eastAsia" w:ascii="宋体" w:hAnsi="宋体" w:cs="宋体"/>
          <w:bCs/>
          <w:sz w:val="24"/>
          <w:szCs w:val="24"/>
        </w:rPr>
      </w:pPr>
      <w:r>
        <w:rPr>
          <w:rFonts w:hint="eastAsia" w:ascii="宋体" w:hAnsi="宋体" w:cs="宋体"/>
          <w:sz w:val="24"/>
          <w:szCs w:val="24"/>
        </w:rPr>
        <w:t>（1）供应商应按照磋商文件规定格式填报报价</w:t>
      </w:r>
      <w:bookmarkStart w:id="62" w:name="_Hlt26670399"/>
      <w:bookmarkEnd w:id="62"/>
      <w:r>
        <w:rPr>
          <w:rFonts w:hint="eastAsia" w:ascii="宋体" w:hAnsi="宋体" w:cs="宋体"/>
          <w:sz w:val="24"/>
          <w:szCs w:val="24"/>
        </w:rPr>
        <w:t>费率。每项费用只允许有一个报价，任何有选择的报价将不予接受。（如有）</w:t>
      </w:r>
    </w:p>
    <w:p>
      <w:pPr>
        <w:pStyle w:val="39"/>
        <w:snapToGrid w:val="0"/>
        <w:rPr>
          <w:rFonts w:hint="eastAsia" w:hAnsi="宋体" w:eastAsia="宋体"/>
          <w:sz w:val="24"/>
          <w:szCs w:val="24"/>
        </w:rPr>
      </w:pPr>
      <w:r>
        <w:rPr>
          <w:rFonts w:hint="eastAsia" w:hAnsi="宋体" w:eastAsia="宋体"/>
          <w:bCs/>
          <w:sz w:val="24"/>
          <w:szCs w:val="24"/>
        </w:rPr>
        <w:t>（2）</w:t>
      </w:r>
      <w:r>
        <w:rPr>
          <w:rFonts w:hint="eastAsia" w:hAnsi="宋体" w:eastAsia="宋体"/>
          <w:sz w:val="24"/>
          <w:szCs w:val="24"/>
        </w:rPr>
        <w:t>磋商报价</w:t>
      </w:r>
      <w:r>
        <w:rPr>
          <w:rFonts w:hint="eastAsia" w:hAnsi="宋体" w:eastAsia="宋体"/>
          <w:spacing w:val="-6"/>
          <w:sz w:val="24"/>
          <w:szCs w:val="24"/>
        </w:rPr>
        <w:t>应包括</w:t>
      </w:r>
      <w:r>
        <w:rPr>
          <w:rFonts w:hint="eastAsia" w:hAnsi="宋体" w:eastAsia="宋体"/>
          <w:sz w:val="24"/>
          <w:szCs w:val="24"/>
        </w:rPr>
        <w:t>所需人工费、材料费、其他（保险费，以及合同明示或暗示的风险、责任和义务等）费，以及管理费、利润和规费、税金等一切费用。</w:t>
      </w:r>
    </w:p>
    <w:p>
      <w:pPr>
        <w:pStyle w:val="39"/>
        <w:snapToGrid w:val="0"/>
        <w:ind w:firstLine="482"/>
        <w:rPr>
          <w:rFonts w:hint="eastAsia" w:hAnsi="宋体" w:eastAsia="宋体"/>
          <w:bCs/>
          <w:sz w:val="24"/>
          <w:szCs w:val="24"/>
        </w:rPr>
      </w:pPr>
      <w:r>
        <w:rPr>
          <w:rFonts w:hint="eastAsia" w:hAnsi="宋体" w:eastAsia="宋体"/>
          <w:b/>
          <w:sz w:val="24"/>
          <w:szCs w:val="24"/>
        </w:rPr>
        <w:t>最终报价一经确定不得更改，且不受市场价格波动影响。</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（3）其它费用处理</w:t>
      </w:r>
    </w:p>
    <w:p>
      <w:pPr>
        <w:pStyle w:val="39"/>
        <w:snapToGrid w:val="0"/>
        <w:rPr>
          <w:rFonts w:hint="eastAsia" w:hAnsi="宋体" w:eastAsia="宋体"/>
          <w:sz w:val="24"/>
          <w:szCs w:val="24"/>
        </w:rPr>
      </w:pPr>
      <w:r>
        <w:rPr>
          <w:rFonts w:hint="eastAsia" w:hAnsi="宋体" w:eastAsia="宋体"/>
          <w:sz w:val="24"/>
          <w:szCs w:val="24"/>
        </w:rPr>
        <w:t>磋商文件未列明，而供应商认为必需的费用也需列入报价。</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7.响应文件货币</w:t>
      </w:r>
    </w:p>
    <w:p>
      <w:pPr>
        <w:pStyle w:val="39"/>
        <w:snapToGrid w:val="0"/>
        <w:rPr>
          <w:rFonts w:hint="eastAsia" w:hAnsi="宋体" w:eastAsia="宋体"/>
          <w:sz w:val="24"/>
          <w:szCs w:val="24"/>
        </w:rPr>
      </w:pPr>
      <w:r>
        <w:rPr>
          <w:rFonts w:hint="eastAsia" w:hAnsi="宋体" w:eastAsia="宋体"/>
          <w:sz w:val="24"/>
          <w:szCs w:val="24"/>
        </w:rPr>
        <w:t>响应文件中的货物单价和总价无特殊规定的采用人民币报价。磋商文件中另有规定的按规定执行。</w:t>
      </w:r>
    </w:p>
    <w:p>
      <w:pPr>
        <w:adjustRightInd w:val="0"/>
        <w:snapToGrid w:val="0"/>
        <w:spacing w:line="360" w:lineRule="auto"/>
        <w:ind w:firstLine="480" w:firstLineChars="200"/>
        <w:rPr>
          <w:rFonts w:hint="eastAsia" w:ascii="宋体" w:hAnsi="宋体" w:cs="宋体"/>
          <w:sz w:val="24"/>
          <w:szCs w:val="24"/>
        </w:rPr>
      </w:pPr>
      <w:bookmarkStart w:id="63" w:name="_Hlt26954739"/>
      <w:bookmarkEnd w:id="63"/>
      <w:bookmarkStart w:id="64" w:name="_Hlt26954731"/>
      <w:bookmarkEnd w:id="64"/>
      <w:bookmarkStart w:id="65" w:name="_Hlt26954852"/>
      <w:bookmarkEnd w:id="65"/>
      <w:bookmarkStart w:id="66" w:name="_Hlt26670486"/>
      <w:bookmarkEnd w:id="66"/>
      <w:bookmarkStart w:id="67" w:name="_Hlt26954846"/>
      <w:bookmarkEnd w:id="67"/>
      <w:bookmarkStart w:id="68" w:name="_Hlt26670482"/>
      <w:bookmarkEnd w:id="68"/>
      <w:bookmarkStart w:id="69" w:name="_Hlt26954848"/>
      <w:bookmarkEnd w:id="69"/>
      <w:bookmarkStart w:id="70" w:name="_Toc14577361"/>
      <w:bookmarkStart w:id="71" w:name="_Toc49090512"/>
      <w:r>
        <w:rPr>
          <w:rFonts w:hint="eastAsia" w:ascii="宋体" w:hAnsi="宋体" w:cs="宋体"/>
          <w:sz w:val="24"/>
          <w:szCs w:val="24"/>
          <w:lang w:val="en-US" w:eastAsia="zh-CN"/>
        </w:rPr>
        <w:t>8</w:t>
      </w:r>
      <w:r>
        <w:rPr>
          <w:rFonts w:hint="eastAsia" w:ascii="宋体" w:hAnsi="宋体" w:cs="宋体"/>
          <w:sz w:val="24"/>
          <w:szCs w:val="24"/>
        </w:rPr>
        <w:t>.响应文件份数和签署</w:t>
      </w:r>
      <w:bookmarkEnd w:id="70"/>
      <w:bookmarkEnd w:id="71"/>
    </w:p>
    <w:p>
      <w:pPr>
        <w:pStyle w:val="39"/>
        <w:snapToGrid w:val="0"/>
        <w:rPr>
          <w:rFonts w:hint="eastAsia" w:hAnsi="宋体" w:eastAsia="宋体"/>
          <w:sz w:val="24"/>
          <w:szCs w:val="24"/>
        </w:rPr>
      </w:pPr>
      <w:r>
        <w:rPr>
          <w:rFonts w:hint="eastAsia" w:hAnsi="宋体" w:eastAsia="宋体"/>
          <w:sz w:val="24"/>
          <w:szCs w:val="24"/>
        </w:rPr>
        <w:t>（1）供应商应严格按照磋商公告要求的份数准备响应文件，每份响应文件须清楚地标明“正本”或“副本”字样。一旦正本和副本不符，以正本为准。</w:t>
      </w:r>
    </w:p>
    <w:p>
      <w:pPr>
        <w:pStyle w:val="39"/>
        <w:snapToGrid w:val="0"/>
        <w:rPr>
          <w:rFonts w:hint="eastAsia" w:hAnsi="宋体" w:eastAsia="宋体"/>
          <w:sz w:val="24"/>
          <w:szCs w:val="24"/>
        </w:rPr>
      </w:pPr>
      <w:r>
        <w:rPr>
          <w:rFonts w:hint="eastAsia" w:hAnsi="宋体" w:eastAsia="宋体"/>
          <w:sz w:val="24"/>
          <w:szCs w:val="24"/>
        </w:rPr>
        <w:t>（2）响应文件的正本和所有的副本均需打印或复印，正本由供应商法定代表人或其授权代表签字。授权代表须将“法人授权书”（原件）附在正本响应文件中。</w:t>
      </w:r>
    </w:p>
    <w:p>
      <w:pPr>
        <w:pStyle w:val="39"/>
        <w:snapToGrid w:val="0"/>
        <w:rPr>
          <w:rFonts w:hint="eastAsia" w:hAnsi="宋体" w:eastAsia="宋体"/>
          <w:sz w:val="24"/>
          <w:szCs w:val="24"/>
        </w:rPr>
      </w:pPr>
      <w:r>
        <w:rPr>
          <w:rFonts w:hint="eastAsia" w:hAnsi="宋体" w:eastAsia="宋体"/>
          <w:sz w:val="24"/>
          <w:szCs w:val="24"/>
        </w:rPr>
        <w:t>（3）除供应商对错处做必要修改外，响应文件不得行间插字、涂改或增删。如有修改错漏处，必须由响应文件签署人签字或盖章。</w:t>
      </w:r>
    </w:p>
    <w:p>
      <w:pPr>
        <w:adjustRightInd w:val="0"/>
        <w:snapToGrid w:val="0"/>
        <w:spacing w:line="360" w:lineRule="auto"/>
        <w:ind w:firstLine="480" w:firstLineChars="200"/>
        <w:rPr>
          <w:rFonts w:hint="eastAsia" w:ascii="宋体" w:hAnsi="宋体" w:cs="宋体"/>
          <w:sz w:val="24"/>
          <w:szCs w:val="24"/>
        </w:rPr>
      </w:pPr>
      <w:bookmarkStart w:id="72" w:name="_Toc120614217"/>
      <w:bookmarkStart w:id="73" w:name="_Toc20823296"/>
      <w:bookmarkStart w:id="74" w:name="_Toc16938540"/>
      <w:bookmarkStart w:id="75" w:name="_Toc513029224"/>
      <w:bookmarkStart w:id="76" w:name="_Toc403987208"/>
      <w:r>
        <w:rPr>
          <w:rFonts w:hint="eastAsia" w:ascii="宋体" w:hAnsi="宋体" w:cs="宋体"/>
          <w:sz w:val="24"/>
          <w:szCs w:val="24"/>
        </w:rPr>
        <w:t>（四）响应文件的递交</w:t>
      </w:r>
      <w:bookmarkEnd w:id="72"/>
      <w:bookmarkEnd w:id="73"/>
      <w:bookmarkEnd w:id="74"/>
      <w:bookmarkEnd w:id="75"/>
      <w:bookmarkEnd w:id="76"/>
    </w:p>
    <w:p>
      <w:pPr>
        <w:adjustRightInd w:val="0"/>
        <w:snapToGrid w:val="0"/>
        <w:spacing w:line="360" w:lineRule="auto"/>
        <w:ind w:firstLine="480" w:firstLineChars="200"/>
        <w:rPr>
          <w:rFonts w:hint="eastAsia" w:ascii="宋体" w:hAnsi="宋体" w:cs="宋体"/>
          <w:sz w:val="24"/>
          <w:szCs w:val="24"/>
        </w:rPr>
      </w:pPr>
      <w:bookmarkStart w:id="77" w:name="_Toc16938541"/>
      <w:bookmarkStart w:id="78" w:name="_Toc513029225"/>
      <w:bookmarkStart w:id="79" w:name="_Toc462564084"/>
      <w:bookmarkStart w:id="80" w:name="_Toc20823297"/>
      <w:r>
        <w:rPr>
          <w:rFonts w:hint="eastAsia" w:ascii="宋体" w:hAnsi="宋体" w:cs="宋体"/>
          <w:sz w:val="24"/>
          <w:szCs w:val="24"/>
        </w:rPr>
        <w:t>1.响应文件的密封和标记</w:t>
      </w:r>
      <w:bookmarkEnd w:id="77"/>
      <w:bookmarkEnd w:id="78"/>
      <w:bookmarkEnd w:id="79"/>
      <w:bookmarkEnd w:id="80"/>
    </w:p>
    <w:p>
      <w:pPr>
        <w:pStyle w:val="39"/>
        <w:snapToGrid w:val="0"/>
        <w:rPr>
          <w:rFonts w:hint="eastAsia" w:hAnsi="宋体" w:eastAsia="宋体"/>
          <w:sz w:val="24"/>
          <w:szCs w:val="24"/>
        </w:rPr>
      </w:pPr>
      <w:r>
        <w:rPr>
          <w:rFonts w:hint="eastAsia" w:hAnsi="宋体" w:eastAsia="宋体"/>
          <w:sz w:val="24"/>
          <w:szCs w:val="24"/>
        </w:rPr>
        <w:t>（1）供应商应将响应文件正本和所有副本密封，并加盖供应商公章。不论供应商成交与否，响应文件均不退回。</w:t>
      </w:r>
    </w:p>
    <w:p>
      <w:pPr>
        <w:pStyle w:val="39"/>
        <w:snapToGrid w:val="0"/>
        <w:rPr>
          <w:rFonts w:hint="eastAsia" w:hAnsi="宋体" w:eastAsia="宋体"/>
          <w:sz w:val="24"/>
          <w:szCs w:val="24"/>
        </w:rPr>
      </w:pPr>
      <w:r>
        <w:rPr>
          <w:rFonts w:hint="eastAsia" w:hAnsi="宋体" w:eastAsia="宋体"/>
          <w:sz w:val="24"/>
          <w:szCs w:val="24"/>
        </w:rPr>
        <w:t>（2）密封的响应文件应：</w:t>
      </w:r>
    </w:p>
    <w:p>
      <w:pPr>
        <w:pStyle w:val="39"/>
        <w:snapToGrid w:val="0"/>
        <w:rPr>
          <w:rFonts w:hint="eastAsia" w:hAnsi="宋体" w:eastAsia="宋体"/>
          <w:sz w:val="24"/>
          <w:szCs w:val="24"/>
        </w:rPr>
      </w:pPr>
      <w:r>
        <w:rPr>
          <w:rFonts w:hint="eastAsia" w:hAnsi="宋体" w:eastAsia="宋体"/>
          <w:sz w:val="24"/>
          <w:szCs w:val="24"/>
        </w:rPr>
        <w:t>1）注明供应商名称，如因标注不清而产生的后果由供应商自负。按磋商公告中注明的地址送达；</w:t>
      </w:r>
    </w:p>
    <w:p>
      <w:pPr>
        <w:pStyle w:val="39"/>
        <w:snapToGrid w:val="0"/>
        <w:rPr>
          <w:rFonts w:hint="eastAsia" w:hAnsi="宋体" w:eastAsia="宋体"/>
          <w:sz w:val="24"/>
          <w:szCs w:val="24"/>
        </w:rPr>
      </w:pPr>
      <w:r>
        <w:rPr>
          <w:rFonts w:hint="eastAsia" w:hAnsi="宋体" w:eastAsia="宋体"/>
          <w:sz w:val="24"/>
          <w:szCs w:val="24"/>
        </w:rPr>
        <w:t>2）注明磋商项目名称、项目编号。</w:t>
      </w:r>
    </w:p>
    <w:p>
      <w:pPr>
        <w:pStyle w:val="39"/>
        <w:snapToGrid w:val="0"/>
        <w:rPr>
          <w:rFonts w:hint="eastAsia" w:hAnsi="宋体" w:eastAsia="宋体"/>
          <w:sz w:val="24"/>
          <w:szCs w:val="24"/>
        </w:rPr>
      </w:pPr>
      <w:r>
        <w:rPr>
          <w:rFonts w:hint="eastAsia" w:hAnsi="宋体" w:eastAsia="宋体"/>
          <w:sz w:val="24"/>
          <w:szCs w:val="24"/>
        </w:rPr>
        <w:t>3）未按要求密封和加写标记，采购人对误投或过早启封概不负责。对由此造成提前开封的响应文件，采购人将予以拒绝，作无效响应处理。</w:t>
      </w:r>
    </w:p>
    <w:p>
      <w:pPr>
        <w:adjustRightInd w:val="0"/>
        <w:snapToGrid w:val="0"/>
        <w:spacing w:line="360" w:lineRule="auto"/>
        <w:ind w:firstLine="480" w:firstLineChars="200"/>
        <w:rPr>
          <w:rFonts w:hint="eastAsia" w:ascii="宋体" w:hAnsi="宋体" w:cs="宋体"/>
          <w:sz w:val="24"/>
          <w:szCs w:val="24"/>
        </w:rPr>
      </w:pPr>
      <w:bookmarkStart w:id="81" w:name="_Toc20823298"/>
      <w:bookmarkStart w:id="82" w:name="_Toc513029226"/>
      <w:bookmarkStart w:id="83" w:name="_Toc16938542"/>
      <w:r>
        <w:rPr>
          <w:rFonts w:hint="eastAsia" w:ascii="宋体" w:hAnsi="宋体" w:cs="宋体"/>
          <w:sz w:val="24"/>
          <w:szCs w:val="24"/>
        </w:rPr>
        <w:t>2.响应文件提交截止</w:t>
      </w:r>
      <w:bookmarkEnd w:id="81"/>
      <w:bookmarkEnd w:id="82"/>
      <w:bookmarkEnd w:id="83"/>
      <w:r>
        <w:rPr>
          <w:rFonts w:hint="eastAsia" w:ascii="宋体" w:hAnsi="宋体" w:cs="宋体"/>
          <w:sz w:val="24"/>
          <w:szCs w:val="24"/>
        </w:rPr>
        <w:t>时间</w:t>
      </w:r>
    </w:p>
    <w:p>
      <w:pPr>
        <w:pStyle w:val="39"/>
        <w:snapToGrid w:val="0"/>
        <w:rPr>
          <w:rFonts w:hint="eastAsia" w:hAnsi="宋体" w:eastAsia="宋体"/>
          <w:sz w:val="24"/>
          <w:szCs w:val="24"/>
        </w:rPr>
      </w:pPr>
      <w:r>
        <w:rPr>
          <w:rFonts w:hint="eastAsia" w:hAnsi="宋体" w:eastAsia="宋体"/>
          <w:sz w:val="24"/>
          <w:szCs w:val="24"/>
        </w:rPr>
        <w:t>（1）采购人收到响应文件的时间不得迟于磋商公告中规定的截止时间。</w:t>
      </w:r>
    </w:p>
    <w:p>
      <w:pPr>
        <w:pStyle w:val="39"/>
        <w:snapToGrid w:val="0"/>
        <w:rPr>
          <w:rFonts w:hint="eastAsia" w:hAnsi="宋体" w:eastAsia="宋体"/>
          <w:sz w:val="24"/>
          <w:szCs w:val="24"/>
        </w:rPr>
      </w:pPr>
      <w:r>
        <w:rPr>
          <w:rFonts w:hint="eastAsia" w:hAnsi="宋体" w:eastAsia="宋体"/>
          <w:sz w:val="24"/>
          <w:szCs w:val="24"/>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（五）磋商与评审</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1.磋商仪式</w:t>
      </w:r>
    </w:p>
    <w:p>
      <w:pPr>
        <w:pStyle w:val="39"/>
        <w:snapToGrid w:val="0"/>
        <w:rPr>
          <w:rFonts w:hint="eastAsia" w:hAnsi="宋体" w:eastAsia="宋体"/>
          <w:sz w:val="24"/>
          <w:szCs w:val="24"/>
        </w:rPr>
      </w:pPr>
      <w:r>
        <w:rPr>
          <w:rFonts w:hint="eastAsia" w:hAnsi="宋体" w:eastAsia="宋体"/>
          <w:bCs/>
          <w:sz w:val="24"/>
          <w:szCs w:val="24"/>
        </w:rPr>
        <w:t>（1）采购人将在磋商公告中规定的时间和地点组织磋商</w:t>
      </w:r>
      <w:r>
        <w:rPr>
          <w:rFonts w:hint="eastAsia" w:hAnsi="宋体" w:eastAsia="宋体"/>
          <w:sz w:val="24"/>
          <w:szCs w:val="24"/>
        </w:rPr>
        <w:t>。供应商应委派携带有效证件的代表准时参加，参加磋商的代表需签名以证明其出席。</w:t>
      </w:r>
    </w:p>
    <w:p>
      <w:pPr>
        <w:pStyle w:val="39"/>
        <w:snapToGrid w:val="0"/>
        <w:rPr>
          <w:rFonts w:hint="eastAsia" w:hAnsi="宋体" w:eastAsia="宋体"/>
          <w:sz w:val="24"/>
          <w:szCs w:val="24"/>
        </w:rPr>
      </w:pPr>
      <w:r>
        <w:rPr>
          <w:rFonts w:hint="eastAsia" w:hAnsi="宋体" w:eastAsia="宋体"/>
          <w:sz w:val="24"/>
          <w:szCs w:val="24"/>
        </w:rPr>
        <w:t>（2）磋商仪式由采购人代表主持，有关工作人员参加。</w:t>
      </w:r>
    </w:p>
    <w:p>
      <w:pPr>
        <w:pStyle w:val="39"/>
        <w:snapToGrid w:val="0"/>
        <w:rPr>
          <w:rFonts w:hint="eastAsia" w:hAnsi="宋体" w:eastAsia="宋体"/>
          <w:sz w:val="24"/>
          <w:szCs w:val="24"/>
        </w:rPr>
      </w:pPr>
      <w:r>
        <w:rPr>
          <w:rFonts w:hint="eastAsia" w:hAnsi="宋体" w:eastAsia="宋体"/>
          <w:sz w:val="24"/>
          <w:szCs w:val="24"/>
        </w:rPr>
        <w:t>（3）磋商时请纪检监督人员查验响应文件密封情况，至响应文件开启时间后由磋商小组开启响应文件。</w:t>
      </w:r>
    </w:p>
    <w:p>
      <w:pPr>
        <w:adjustRightInd w:val="0"/>
        <w:snapToGrid w:val="0"/>
        <w:spacing w:line="360" w:lineRule="auto"/>
        <w:ind w:firstLine="480" w:firstLineChars="200"/>
        <w:rPr>
          <w:rFonts w:hint="eastAsia" w:ascii="宋体" w:hAnsi="宋体" w:cs="宋体"/>
          <w:sz w:val="24"/>
          <w:szCs w:val="24"/>
        </w:rPr>
      </w:pPr>
      <w:bookmarkStart w:id="84" w:name="_Toc20823303"/>
      <w:bookmarkStart w:id="85" w:name="_Toc16938547"/>
      <w:bookmarkStart w:id="86" w:name="_Toc513029231"/>
      <w:r>
        <w:rPr>
          <w:rFonts w:hint="eastAsia" w:ascii="宋体" w:hAnsi="宋体" w:cs="宋体"/>
          <w:sz w:val="24"/>
          <w:szCs w:val="24"/>
        </w:rPr>
        <w:t>2.磋商小组</w:t>
      </w:r>
    </w:p>
    <w:p>
      <w:pPr>
        <w:pStyle w:val="39"/>
        <w:snapToGrid w:val="0"/>
        <w:rPr>
          <w:rFonts w:hint="eastAsia" w:hAnsi="宋体" w:eastAsia="宋体"/>
          <w:sz w:val="24"/>
          <w:szCs w:val="24"/>
        </w:rPr>
      </w:pPr>
      <w:r>
        <w:rPr>
          <w:rFonts w:hint="eastAsia" w:hAnsi="宋体" w:eastAsia="宋体"/>
          <w:sz w:val="24"/>
          <w:szCs w:val="24"/>
        </w:rPr>
        <w:t>（1）磋商仪式结束后，采购人将立即组织磋商小组进行磋商。</w:t>
      </w:r>
    </w:p>
    <w:p>
      <w:pPr>
        <w:pStyle w:val="39"/>
        <w:snapToGrid w:val="0"/>
        <w:rPr>
          <w:rFonts w:hint="eastAsia" w:hAnsi="宋体" w:eastAsia="宋体"/>
          <w:sz w:val="24"/>
          <w:szCs w:val="24"/>
        </w:rPr>
      </w:pPr>
      <w:r>
        <w:rPr>
          <w:rFonts w:hint="eastAsia" w:hAnsi="宋体" w:eastAsia="宋体"/>
          <w:sz w:val="24"/>
          <w:szCs w:val="24"/>
        </w:rPr>
        <w:t>（2）磋商小组将按规定由3人或以上单数组成。</w:t>
      </w:r>
    </w:p>
    <w:bookmarkEnd w:id="84"/>
    <w:bookmarkEnd w:id="85"/>
    <w:bookmarkEnd w:id="86"/>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（3）磋商小组工作原则</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3.响应文件审查</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hint="eastAsia" w:ascii="宋体" w:hAnsi="宋体" w:cs="宋体"/>
          <w:sz w:val="24"/>
          <w:szCs w:val="24"/>
        </w:rPr>
      </w:pPr>
      <w:bookmarkStart w:id="87" w:name="_Toc20823304"/>
      <w:bookmarkStart w:id="88" w:name="_Toc513029232"/>
      <w:bookmarkStart w:id="89" w:name="_Toc16938548"/>
      <w:r>
        <w:rPr>
          <w:rFonts w:hint="eastAsia" w:ascii="宋体" w:hAnsi="宋体" w:cs="宋体"/>
          <w:sz w:val="24"/>
          <w:szCs w:val="24"/>
        </w:rPr>
        <w:t>4.供应商澄清</w:t>
      </w:r>
      <w:bookmarkEnd w:id="87"/>
      <w:bookmarkEnd w:id="88"/>
      <w:bookmarkEnd w:id="89"/>
    </w:p>
    <w:p>
      <w:pPr>
        <w:adjustRightInd w:val="0"/>
        <w:snapToGrid w:val="0"/>
        <w:spacing w:line="360" w:lineRule="auto"/>
        <w:ind w:firstLine="480" w:firstLineChars="200"/>
        <w:rPr>
          <w:rFonts w:hint="eastAsia" w:ascii="宋体" w:hAnsi="宋体" w:cs="宋体"/>
          <w:sz w:val="24"/>
          <w:szCs w:val="24"/>
        </w:rPr>
      </w:pPr>
      <w:bookmarkStart w:id="90" w:name="_Toc16938549"/>
      <w:bookmarkStart w:id="91" w:name="_Toc513029233"/>
      <w:bookmarkStart w:id="92" w:name="_Toc20823305"/>
      <w:r>
        <w:rPr>
          <w:rFonts w:hint="eastAsia" w:ascii="宋体" w:hAnsi="宋体" w:cs="宋体"/>
          <w:sz w:val="24"/>
          <w:szCs w:val="24"/>
        </w:rPr>
        <w:t>磋商小组要求供应商澄清、说明或者更正响应文件将以书面形式作出。</w:t>
      </w:r>
    </w:p>
    <w:bookmarkEnd w:id="90"/>
    <w:bookmarkEnd w:id="91"/>
    <w:bookmarkEnd w:id="92"/>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5.磋商程序、最后报价、综合评分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（1）磋商小组所有成员应当集中与单一供应商分别进行磋商，并给予所有参加磋商的供应商平等的磋商机会。</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（3）磋商文件能够详细列明采购标的的技术、服务要求的，磋商结束后，磋商小组将要求所有实质性响应的供应商在规定时间内提交最后报价。最后报价是供应商响应文件的有效组成部分。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（4）已提交响应文件的供应商，在提交最后报价之前，可以根据磋商情况退出磋商。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（6）评审时，磋商小组各成员独立对每个有效响应的文件进行评价、打分，然后汇总每个供应商每项评分因素的得分。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7）磋商小组应当根据综合评分情况，按照评审得分由高到低顺序推荐2名中标候选单位，并编写评审报告。评审得分相同的，按照最后报价由低到高的顺序推荐。评审得分且最后报价相同的，按照技术指标优劣顺序推荐。</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6.响应无效和终止磋商活动条款</w:t>
      </w:r>
    </w:p>
    <w:p>
      <w:pPr>
        <w:pStyle w:val="39"/>
        <w:snapToGrid w:val="0"/>
        <w:rPr>
          <w:rFonts w:hint="eastAsia" w:hAnsi="宋体" w:eastAsia="宋体"/>
          <w:sz w:val="24"/>
          <w:szCs w:val="24"/>
        </w:rPr>
      </w:pPr>
      <w:bookmarkStart w:id="93" w:name="_Toc16938551"/>
      <w:bookmarkStart w:id="94" w:name="_Toc513029235"/>
      <w:bookmarkStart w:id="95" w:name="_Toc20823307"/>
      <w:r>
        <w:rPr>
          <w:rFonts w:hint="eastAsia" w:hAnsi="宋体" w:eastAsia="宋体"/>
          <w:sz w:val="24"/>
          <w:szCs w:val="24"/>
        </w:rPr>
        <w:t>（1）响应无效条款</w:t>
      </w:r>
    </w:p>
    <w:p>
      <w:pPr>
        <w:pStyle w:val="36"/>
        <w:snapToGrid w:val="0"/>
        <w:ind w:firstLine="480" w:firstLineChars="200"/>
        <w:rPr>
          <w:rFonts w:hint="eastAsia" w:hAnsi="宋体" w:eastAsia="宋体"/>
          <w:sz w:val="24"/>
          <w:szCs w:val="24"/>
        </w:rPr>
      </w:pPr>
      <w:r>
        <w:rPr>
          <w:rFonts w:hint="eastAsia" w:hAnsi="宋体" w:eastAsia="宋体"/>
          <w:sz w:val="24"/>
          <w:szCs w:val="24"/>
        </w:rPr>
        <w:t>1）未按照磋商文件规定要求密封、签署、盖章的；</w:t>
      </w:r>
    </w:p>
    <w:p>
      <w:pPr>
        <w:pStyle w:val="36"/>
        <w:snapToGrid w:val="0"/>
        <w:ind w:firstLine="480" w:firstLineChars="200"/>
        <w:rPr>
          <w:rFonts w:hint="eastAsia" w:hAnsi="宋体" w:eastAsia="宋体"/>
          <w:sz w:val="24"/>
          <w:szCs w:val="24"/>
        </w:rPr>
      </w:pPr>
      <w:r>
        <w:rPr>
          <w:rFonts w:hint="eastAsia" w:hAnsi="宋体" w:eastAsia="宋体"/>
          <w:sz w:val="24"/>
          <w:szCs w:val="24"/>
        </w:rPr>
        <w:t>2）供应商不具备磋商文件中规定资格条件的；</w:t>
      </w:r>
    </w:p>
    <w:p>
      <w:pPr>
        <w:pStyle w:val="36"/>
        <w:snapToGrid w:val="0"/>
        <w:ind w:firstLine="480" w:firstLineChars="200"/>
        <w:rPr>
          <w:rFonts w:hint="eastAsia" w:hAnsi="宋体" w:eastAsia="宋体"/>
          <w:sz w:val="24"/>
          <w:szCs w:val="24"/>
        </w:rPr>
      </w:pPr>
      <w:r>
        <w:rPr>
          <w:rFonts w:hint="eastAsia" w:hAnsi="宋体" w:eastAsia="宋体"/>
          <w:sz w:val="24"/>
          <w:szCs w:val="24"/>
        </w:rPr>
        <w:t>3）不符合法律、法规和磋商文件中规定的其他实质性要求的；</w:t>
      </w:r>
    </w:p>
    <w:p>
      <w:pPr>
        <w:pStyle w:val="36"/>
        <w:snapToGrid w:val="0"/>
        <w:ind w:firstLine="480" w:firstLineChars="200"/>
        <w:rPr>
          <w:rFonts w:hint="eastAsia" w:hAnsi="宋体" w:eastAsia="宋体"/>
          <w:sz w:val="24"/>
          <w:szCs w:val="24"/>
        </w:rPr>
      </w:pPr>
      <w:r>
        <w:rPr>
          <w:rFonts w:hint="eastAsia" w:hAnsi="宋体" w:eastAsia="宋体"/>
          <w:sz w:val="24"/>
          <w:szCs w:val="24"/>
        </w:rPr>
        <w:t>4）其他法律、法规及本磋商文件规定的属响应无效的情形。</w:t>
      </w:r>
    </w:p>
    <w:p>
      <w:pPr>
        <w:pStyle w:val="39"/>
        <w:snapToGrid w:val="0"/>
        <w:rPr>
          <w:rFonts w:hint="eastAsia" w:hAnsi="宋体" w:eastAsia="宋体"/>
          <w:sz w:val="24"/>
          <w:szCs w:val="24"/>
        </w:rPr>
      </w:pPr>
      <w:r>
        <w:rPr>
          <w:rFonts w:hint="eastAsia" w:hAnsi="宋体" w:eastAsia="宋体"/>
          <w:sz w:val="24"/>
          <w:szCs w:val="24"/>
        </w:rPr>
        <w:t>7.终止磋商采购活动的条款</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出现下列情形之一的，采购人将</w:t>
      </w:r>
      <w:r>
        <w:rPr>
          <w:rFonts w:hint="eastAsia" w:ascii="宋体" w:hAnsi="宋体" w:cs="宋体"/>
          <w:sz w:val="24"/>
          <w:szCs w:val="24"/>
          <w:lang w:eastAsia="zh-CN"/>
        </w:rPr>
        <w:t>中止</w:t>
      </w:r>
      <w:r>
        <w:rPr>
          <w:rFonts w:hint="eastAsia" w:ascii="宋体" w:hAnsi="宋体" w:cs="宋体"/>
          <w:sz w:val="24"/>
          <w:szCs w:val="24"/>
        </w:rPr>
        <w:t>磋商采购活动，发布项目</w:t>
      </w:r>
      <w:r>
        <w:rPr>
          <w:rFonts w:hint="eastAsia" w:ascii="宋体" w:hAnsi="宋体" w:cs="宋体"/>
          <w:sz w:val="24"/>
          <w:szCs w:val="24"/>
          <w:lang w:eastAsia="zh-CN"/>
        </w:rPr>
        <w:t>中止</w:t>
      </w:r>
      <w:r>
        <w:rPr>
          <w:rFonts w:hint="eastAsia" w:ascii="宋体" w:hAnsi="宋体" w:cs="宋体"/>
          <w:sz w:val="24"/>
          <w:szCs w:val="24"/>
        </w:rPr>
        <w:t>公告并说明原因，重新开展采购活动：</w:t>
      </w:r>
    </w:p>
    <w:p>
      <w:pPr>
        <w:pStyle w:val="36"/>
        <w:snapToGrid w:val="0"/>
        <w:ind w:firstLine="480" w:firstLineChars="200"/>
        <w:rPr>
          <w:rFonts w:hint="eastAsia" w:hAnsi="宋体" w:eastAsia="宋体"/>
          <w:sz w:val="24"/>
          <w:szCs w:val="24"/>
        </w:rPr>
      </w:pPr>
      <w:r>
        <w:rPr>
          <w:rFonts w:hint="eastAsia" w:hAnsi="宋体" w:eastAsia="宋体"/>
          <w:sz w:val="24"/>
          <w:szCs w:val="24"/>
        </w:rPr>
        <w:t>（1）因情况变化，不再符合规定的磋商采购方式适用情形的；</w:t>
      </w:r>
    </w:p>
    <w:p>
      <w:pPr>
        <w:pStyle w:val="36"/>
        <w:snapToGrid w:val="0"/>
        <w:ind w:firstLine="480" w:firstLineChars="200"/>
        <w:rPr>
          <w:rFonts w:hint="eastAsia" w:hAnsi="宋体" w:eastAsia="宋体"/>
          <w:sz w:val="24"/>
          <w:szCs w:val="24"/>
        </w:rPr>
      </w:pPr>
      <w:r>
        <w:rPr>
          <w:rFonts w:hint="eastAsia" w:hAnsi="宋体" w:eastAsia="宋体"/>
          <w:sz w:val="24"/>
          <w:szCs w:val="24"/>
        </w:rPr>
        <w:t>（2）出现影响采购公正的违法、违规行为的；</w:t>
      </w:r>
    </w:p>
    <w:bookmarkEnd w:id="93"/>
    <w:bookmarkEnd w:id="94"/>
    <w:bookmarkEnd w:id="95"/>
    <w:p>
      <w:pPr>
        <w:adjustRightInd w:val="0"/>
        <w:snapToGrid w:val="0"/>
        <w:spacing w:line="360" w:lineRule="auto"/>
        <w:ind w:firstLine="480" w:firstLineChars="200"/>
        <w:rPr>
          <w:rFonts w:hint="eastAsia" w:ascii="宋体" w:hAnsi="宋体" w:cs="宋体"/>
          <w:sz w:val="24"/>
          <w:szCs w:val="24"/>
        </w:rPr>
      </w:pPr>
      <w:bookmarkStart w:id="96" w:name="_Toc16938554"/>
      <w:bookmarkStart w:id="97" w:name="_Toc20823310"/>
      <w:r>
        <w:rPr>
          <w:rFonts w:hint="eastAsia" w:ascii="宋体" w:hAnsi="宋体" w:cs="宋体"/>
          <w:sz w:val="24"/>
          <w:szCs w:val="24"/>
        </w:rPr>
        <w:t>8.确定</w:t>
      </w:r>
      <w:bookmarkEnd w:id="96"/>
      <w:bookmarkEnd w:id="97"/>
      <w:r>
        <w:rPr>
          <w:rFonts w:hint="eastAsia" w:ascii="宋体" w:hAnsi="宋体" w:cs="宋体"/>
          <w:sz w:val="24"/>
          <w:szCs w:val="24"/>
        </w:rPr>
        <w:t>成交供应商</w:t>
      </w:r>
    </w:p>
    <w:p>
      <w:pPr>
        <w:pStyle w:val="39"/>
        <w:snapToGrid w:val="0"/>
        <w:rPr>
          <w:rFonts w:hint="eastAsia" w:hAnsi="宋体" w:eastAsia="宋体"/>
          <w:sz w:val="24"/>
          <w:szCs w:val="24"/>
        </w:rPr>
      </w:pPr>
      <w:r>
        <w:rPr>
          <w:rFonts w:hint="eastAsia" w:hAnsi="宋体" w:eastAsia="宋体"/>
          <w:sz w:val="24"/>
          <w:szCs w:val="24"/>
        </w:rPr>
        <w:t>（1）采购人在评审结束后5个工作日内，从评审报告提出的中标候选单位中，按照排序由高到低的原则确定中标候选单位。</w:t>
      </w:r>
    </w:p>
    <w:p>
      <w:pPr>
        <w:pStyle w:val="39"/>
        <w:snapToGrid w:val="0"/>
        <w:rPr>
          <w:rFonts w:hint="eastAsia" w:hAnsi="宋体" w:eastAsia="宋体"/>
          <w:sz w:val="24"/>
          <w:szCs w:val="24"/>
        </w:rPr>
      </w:pPr>
      <w:r>
        <w:rPr>
          <w:rFonts w:hint="eastAsia" w:hAnsi="宋体" w:eastAsia="宋体"/>
          <w:sz w:val="24"/>
          <w:szCs w:val="24"/>
        </w:rPr>
        <w:t>（2）采购人在中标单位确定后2个工作日内在“皖南医学院校园网”公告中标结果。</w:t>
      </w:r>
    </w:p>
    <w:p>
      <w:pPr>
        <w:adjustRightInd w:val="0"/>
        <w:snapToGrid w:val="0"/>
        <w:spacing w:line="360" w:lineRule="auto"/>
        <w:ind w:firstLine="480" w:firstLineChars="200"/>
        <w:rPr>
          <w:rFonts w:hint="eastAsia" w:ascii="宋体" w:hAnsi="宋体" w:cs="宋体"/>
          <w:sz w:val="24"/>
          <w:szCs w:val="24"/>
        </w:rPr>
      </w:pPr>
      <w:bookmarkStart w:id="98" w:name="_Toc120614220"/>
      <w:bookmarkStart w:id="99" w:name="_Toc403987211"/>
      <w:bookmarkStart w:id="100" w:name="_Toc20823308"/>
      <w:bookmarkStart w:id="101" w:name="_Toc16938552"/>
      <w:bookmarkStart w:id="102" w:name="_Toc513029236"/>
      <w:r>
        <w:rPr>
          <w:rFonts w:hint="eastAsia" w:ascii="宋体" w:hAnsi="宋体" w:cs="宋体"/>
          <w:sz w:val="24"/>
          <w:szCs w:val="24"/>
        </w:rPr>
        <w:t>（六）授予合同</w:t>
      </w:r>
      <w:bookmarkEnd w:id="98"/>
      <w:bookmarkEnd w:id="99"/>
    </w:p>
    <w:bookmarkEnd w:id="100"/>
    <w:bookmarkEnd w:id="101"/>
    <w:bookmarkEnd w:id="102"/>
    <w:p>
      <w:pPr>
        <w:adjustRightInd w:val="0"/>
        <w:snapToGrid w:val="0"/>
        <w:spacing w:line="360" w:lineRule="auto"/>
        <w:ind w:firstLine="480" w:firstLineChars="200"/>
        <w:rPr>
          <w:rFonts w:hint="eastAsia" w:ascii="宋体" w:hAnsi="宋体" w:cs="宋体"/>
          <w:sz w:val="24"/>
          <w:szCs w:val="24"/>
        </w:rPr>
      </w:pPr>
      <w:bookmarkStart w:id="103" w:name="_Toc513029237"/>
      <w:bookmarkStart w:id="104" w:name="_Toc20823309"/>
      <w:bookmarkStart w:id="105" w:name="_Toc16938553"/>
      <w:r>
        <w:rPr>
          <w:rFonts w:hint="eastAsia" w:ascii="宋体" w:hAnsi="宋体" w:cs="宋体"/>
          <w:sz w:val="24"/>
          <w:szCs w:val="24"/>
        </w:rPr>
        <w:t>1.签订合同</w:t>
      </w:r>
    </w:p>
    <w:p>
      <w:pPr>
        <w:pStyle w:val="39"/>
        <w:snapToGrid w:val="0"/>
        <w:rPr>
          <w:rFonts w:hint="eastAsia" w:hAnsi="宋体" w:eastAsia="宋体"/>
          <w:sz w:val="24"/>
          <w:szCs w:val="24"/>
        </w:rPr>
      </w:pPr>
      <w:r>
        <w:rPr>
          <w:rFonts w:hint="eastAsia" w:hAnsi="宋体" w:eastAsia="宋体"/>
          <w:sz w:val="24"/>
          <w:szCs w:val="24"/>
        </w:rPr>
        <w:t>（1）采购人与中标单位应当在中标通知书发出之日起5日内，按照磋商文件确定的合同文本以及采购标的、采购金额、技术和服务要求等事项签订采购合同。</w:t>
      </w:r>
    </w:p>
    <w:p>
      <w:pPr>
        <w:pStyle w:val="39"/>
        <w:snapToGrid w:val="0"/>
        <w:rPr>
          <w:rFonts w:hint="eastAsia" w:hAnsi="宋体" w:eastAsia="宋体"/>
          <w:sz w:val="24"/>
          <w:szCs w:val="24"/>
        </w:rPr>
      </w:pPr>
      <w:r>
        <w:rPr>
          <w:rFonts w:hint="eastAsia" w:hAnsi="宋体" w:eastAsia="宋体"/>
          <w:sz w:val="24"/>
          <w:szCs w:val="24"/>
        </w:rPr>
        <w:t>（2）中标单位拒绝签订采购合同的，采购人可以按照从评审报告提出的中标候选单位中，按照排序由高到低的原则重新确定其他供应商作为中标单位并签订采购合同，也可以重新开展采购活动。拒绝签订采购合同的中标单位不得参加对该项目重新开展的采购活动。</w:t>
      </w:r>
    </w:p>
    <w:p>
      <w:pPr>
        <w:pStyle w:val="39"/>
        <w:snapToGrid w:val="0"/>
        <w:rPr>
          <w:rFonts w:hint="eastAsia" w:hAnsi="宋体" w:eastAsia="宋体"/>
          <w:sz w:val="24"/>
          <w:szCs w:val="24"/>
        </w:rPr>
      </w:pPr>
      <w:r>
        <w:rPr>
          <w:rFonts w:hint="eastAsia" w:hAnsi="宋体" w:eastAsia="宋体"/>
          <w:sz w:val="24"/>
          <w:szCs w:val="24"/>
        </w:rPr>
        <w:t>（3）磋商文件、成交供应商的响应文件及磋商过程中有关澄清、承诺文件均应作为合同附件。</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2.履约保证金</w:t>
      </w:r>
    </w:p>
    <w:p>
      <w:pPr>
        <w:pStyle w:val="39"/>
        <w:snapToGrid w:val="0"/>
        <w:rPr>
          <w:rFonts w:hint="eastAsia" w:hAnsi="宋体" w:eastAsia="宋体"/>
          <w:sz w:val="24"/>
          <w:szCs w:val="24"/>
        </w:rPr>
      </w:pPr>
      <w:r>
        <w:rPr>
          <w:rFonts w:hint="eastAsia" w:hAnsi="宋体" w:eastAsia="宋体"/>
          <w:sz w:val="24"/>
          <w:szCs w:val="24"/>
        </w:rPr>
        <w:t>（1）中标单位在收到成交通知书后，</w:t>
      </w:r>
      <w:bookmarkStart w:id="106" w:name="_Toc200451963"/>
      <w:r>
        <w:rPr>
          <w:rFonts w:hint="eastAsia" w:hAnsi="宋体" w:eastAsia="宋体"/>
          <w:sz w:val="24"/>
          <w:szCs w:val="24"/>
          <w:lang w:eastAsia="zh-CN"/>
        </w:rPr>
        <w:t>在</w:t>
      </w:r>
      <w:r>
        <w:rPr>
          <w:rFonts w:hint="eastAsia" w:hAnsi="宋体" w:eastAsia="宋体"/>
          <w:sz w:val="24"/>
          <w:szCs w:val="24"/>
          <w:lang w:val="en-US" w:eastAsia="zh-CN"/>
        </w:rPr>
        <w:t>3个工作日内缴纳</w:t>
      </w:r>
      <w:r>
        <w:rPr>
          <w:rFonts w:hint="eastAsia" w:hAnsi="宋体" w:eastAsia="宋体"/>
          <w:sz w:val="24"/>
          <w:szCs w:val="24"/>
        </w:rPr>
        <w:t>。</w:t>
      </w:r>
    </w:p>
    <w:bookmarkEnd w:id="106"/>
    <w:p>
      <w:pPr>
        <w:pStyle w:val="39"/>
        <w:snapToGrid w:val="0"/>
        <w:rPr>
          <w:rFonts w:hint="eastAsia" w:hAnsi="宋体" w:eastAsia="宋体"/>
          <w:bCs/>
          <w:sz w:val="24"/>
          <w:szCs w:val="24"/>
        </w:rPr>
      </w:pPr>
      <w:r>
        <w:rPr>
          <w:rFonts w:hint="eastAsia" w:hAnsi="宋体" w:eastAsia="宋体"/>
          <w:bCs/>
          <w:sz w:val="24"/>
          <w:szCs w:val="24"/>
        </w:rPr>
        <w:t>（2）履约保证金的退还：合同有效期截止后，</w:t>
      </w:r>
      <w:r>
        <w:rPr>
          <w:rFonts w:hint="eastAsia" w:hAnsi="宋体" w:eastAsia="宋体"/>
          <w:bCs/>
          <w:sz w:val="24"/>
          <w:szCs w:val="24"/>
          <w:lang w:eastAsia="zh-CN"/>
        </w:rPr>
        <w:t>项目单位</w:t>
      </w:r>
      <w:r>
        <w:rPr>
          <w:rFonts w:hint="eastAsia" w:hAnsi="宋体" w:eastAsia="宋体"/>
          <w:sz w:val="24"/>
          <w:szCs w:val="24"/>
        </w:rPr>
        <w:t>自行下载、完成《皖南医学院项目履约保证金退付申请表》</w:t>
      </w:r>
      <w:r>
        <w:rPr>
          <w:rFonts w:hint="eastAsia" w:hAnsi="宋体" w:eastAsia="宋体"/>
          <w:bCs/>
          <w:sz w:val="24"/>
          <w:szCs w:val="24"/>
        </w:rPr>
        <w:t>办理保证金退还手续。</w:t>
      </w:r>
      <w:bookmarkEnd w:id="103"/>
      <w:bookmarkEnd w:id="104"/>
      <w:bookmarkEnd w:id="105"/>
    </w:p>
    <w:p>
      <w:pPr>
        <w:widowControl/>
        <w:shd w:val="clear" w:color="auto" w:fill="FFFFFF"/>
        <w:adjustRightInd w:val="0"/>
        <w:snapToGrid w:val="0"/>
        <w:spacing w:line="360" w:lineRule="auto"/>
        <w:ind w:firstLine="610" w:firstLineChars="253"/>
        <w:jc w:val="left"/>
        <w:rPr>
          <w:rFonts w:hint="eastAsia" w:ascii="宋体" w:hAnsi="宋体" w:cs="宋体"/>
          <w:kern w:val="0"/>
          <w:sz w:val="24"/>
          <w:szCs w:val="24"/>
        </w:rPr>
      </w:pPr>
      <w:r>
        <w:rPr>
          <w:rFonts w:hint="eastAsia" w:ascii="宋体" w:hAnsi="宋体" w:cs="宋体"/>
          <w:b/>
          <w:bCs/>
          <w:kern w:val="0"/>
          <w:sz w:val="24"/>
          <w:szCs w:val="24"/>
        </w:rPr>
        <w:t>二、质疑与投诉</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本项目为我校校内</w:t>
      </w:r>
      <w:r>
        <w:rPr>
          <w:rFonts w:hint="eastAsia" w:ascii="宋体" w:hAnsi="宋体" w:cs="宋体"/>
          <w:kern w:val="0"/>
          <w:sz w:val="24"/>
          <w:szCs w:val="24"/>
          <w:shd w:val="clear" w:color="auto" w:fill="FFFFFF"/>
          <w:lang w:eastAsia="zh-CN"/>
        </w:rPr>
        <w:t>自主</w:t>
      </w:r>
      <w:r>
        <w:rPr>
          <w:rFonts w:hint="eastAsia" w:ascii="宋体" w:hAnsi="宋体" w:cs="宋体"/>
          <w:kern w:val="0"/>
          <w:sz w:val="24"/>
          <w:szCs w:val="24"/>
          <w:shd w:val="clear" w:color="auto" w:fill="FFFFFF"/>
        </w:rPr>
        <w:t>采购项目，在采购活动中，如需质疑或投诉，按照《皖南医学院采购质疑与投诉管理办法（试行）》（见附件）进行。质疑及投诉联系方式如下：</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（一）质疑联系方式：</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1、联系部门：皖南医学院国资处；</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2、联系电话：0553-3932052；</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3、通讯地址：芜湖市高校园区文昌西路22号皖南医学院国资处。</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（二）投诉联系方式：</w:t>
      </w:r>
    </w:p>
    <w:p>
      <w:pPr>
        <w:widowControl/>
        <w:shd w:val="clear" w:color="auto" w:fill="FFFFFF"/>
        <w:adjustRightInd w:val="0"/>
        <w:snapToGrid w:val="0"/>
        <w:spacing w:line="360" w:lineRule="auto"/>
        <w:ind w:firstLine="607" w:firstLineChars="253"/>
        <w:jc w:val="left"/>
        <w:rPr>
          <w:rFonts w:hint="eastAsia" w:ascii="宋体" w:hAnsi="宋体" w:eastAsia="宋体" w:cs="宋体"/>
          <w:kern w:val="0"/>
          <w:sz w:val="24"/>
          <w:szCs w:val="24"/>
          <w:shd w:val="clear" w:color="auto" w:fill="FFFFFF"/>
          <w:lang w:eastAsia="zh-CN"/>
        </w:rPr>
      </w:pPr>
      <w:r>
        <w:rPr>
          <w:rFonts w:hint="eastAsia" w:ascii="宋体" w:hAnsi="宋体" w:cs="宋体"/>
          <w:kern w:val="0"/>
          <w:sz w:val="24"/>
          <w:szCs w:val="24"/>
          <w:shd w:val="clear" w:color="auto" w:fill="FFFFFF"/>
        </w:rPr>
        <w:t xml:space="preserve"> 1.联系部门：皖南医学院</w:t>
      </w:r>
      <w:r>
        <w:rPr>
          <w:rFonts w:hint="eastAsia" w:ascii="宋体" w:hAnsi="宋体" w:cs="宋体"/>
          <w:kern w:val="0"/>
          <w:sz w:val="24"/>
          <w:szCs w:val="24"/>
          <w:shd w:val="clear" w:color="auto" w:fill="FFFFFF"/>
          <w:lang w:val="en-US" w:eastAsia="zh-CN"/>
        </w:rPr>
        <w:t>纪委</w:t>
      </w:r>
      <w:r>
        <w:rPr>
          <w:rFonts w:hint="eastAsia" w:ascii="宋体" w:hAnsi="宋体" w:cs="宋体"/>
          <w:kern w:val="0"/>
          <w:sz w:val="24"/>
          <w:szCs w:val="24"/>
          <w:shd w:val="clear" w:color="auto" w:fill="FFFFFF"/>
        </w:rPr>
        <w:t>办公室</w:t>
      </w:r>
      <w:r>
        <w:rPr>
          <w:rFonts w:hint="eastAsia" w:ascii="宋体" w:hAnsi="宋体" w:cs="宋体"/>
          <w:kern w:val="0"/>
          <w:sz w:val="24"/>
          <w:szCs w:val="24"/>
          <w:shd w:val="clear" w:color="auto" w:fill="FFFFFF"/>
          <w:lang w:eastAsia="zh-CN"/>
        </w:rPr>
        <w:t>；</w:t>
      </w:r>
      <w:r>
        <w:rPr>
          <w:rFonts w:hint="eastAsia" w:ascii="宋体" w:hAnsi="宋体" w:cs="宋体"/>
          <w:kern w:val="0"/>
          <w:sz w:val="24"/>
          <w:szCs w:val="24"/>
          <w:shd w:val="clear" w:color="auto" w:fill="FFFFFF"/>
        </w:rPr>
        <w:br w:type="textWrapping"/>
      </w:r>
      <w:r>
        <w:rPr>
          <w:rFonts w:hint="eastAsia" w:ascii="宋体" w:hAnsi="宋体" w:cs="宋体"/>
          <w:kern w:val="0"/>
          <w:sz w:val="24"/>
          <w:szCs w:val="24"/>
          <w:shd w:val="clear" w:color="auto" w:fill="FFFFFF"/>
        </w:rPr>
        <w:t xml:space="preserve">  </w:t>
      </w:r>
      <w:r>
        <w:rPr>
          <w:rFonts w:hint="eastAsia" w:ascii="宋体" w:hAnsi="宋体" w:cs="宋体"/>
          <w:kern w:val="0"/>
          <w:sz w:val="24"/>
          <w:szCs w:val="24"/>
          <w:shd w:val="clear" w:color="auto" w:fill="FFFFFF"/>
          <w:lang w:val="en-US" w:eastAsia="zh-CN"/>
        </w:rPr>
        <w:t xml:space="preserve">  </w:t>
      </w:r>
      <w:r>
        <w:rPr>
          <w:rFonts w:hint="eastAsia" w:ascii="宋体" w:hAnsi="宋体" w:cs="宋体"/>
          <w:kern w:val="0"/>
          <w:sz w:val="24"/>
          <w:szCs w:val="24"/>
          <w:shd w:val="clear" w:color="auto" w:fill="FFFFFF"/>
        </w:rPr>
        <w:t xml:space="preserve"> 2.联系电话：0553-3932826</w:t>
      </w:r>
      <w:r>
        <w:rPr>
          <w:rFonts w:hint="eastAsia" w:ascii="宋体" w:hAnsi="宋体" w:cs="宋体"/>
          <w:kern w:val="0"/>
          <w:sz w:val="24"/>
          <w:szCs w:val="24"/>
          <w:shd w:val="clear" w:color="auto" w:fill="FFFFFF"/>
          <w:lang w:eastAsia="zh-CN"/>
        </w:rPr>
        <w:t>；</w:t>
      </w:r>
      <w:r>
        <w:rPr>
          <w:rFonts w:hint="eastAsia" w:ascii="宋体" w:hAnsi="宋体" w:cs="宋体"/>
          <w:kern w:val="0"/>
          <w:sz w:val="24"/>
          <w:szCs w:val="24"/>
          <w:shd w:val="clear" w:color="auto" w:fill="FFFFFF"/>
        </w:rPr>
        <w:br w:type="textWrapping"/>
      </w:r>
      <w:r>
        <w:rPr>
          <w:rFonts w:hint="eastAsia" w:ascii="宋体" w:hAnsi="宋体" w:cs="宋体"/>
          <w:kern w:val="0"/>
          <w:sz w:val="24"/>
          <w:szCs w:val="24"/>
          <w:shd w:val="clear" w:color="auto" w:fill="FFFFFF"/>
        </w:rPr>
        <w:t xml:space="preserve">   </w:t>
      </w:r>
      <w:r>
        <w:rPr>
          <w:rFonts w:hint="eastAsia" w:ascii="宋体" w:hAnsi="宋体" w:cs="宋体"/>
          <w:kern w:val="0"/>
          <w:sz w:val="24"/>
          <w:szCs w:val="24"/>
          <w:shd w:val="clear" w:color="auto" w:fill="FFFFFF"/>
          <w:lang w:val="en-US" w:eastAsia="zh-CN"/>
        </w:rPr>
        <w:t xml:space="preserve">  </w:t>
      </w:r>
      <w:r>
        <w:rPr>
          <w:rFonts w:hint="eastAsia" w:ascii="宋体" w:hAnsi="宋体" w:cs="宋体"/>
          <w:kern w:val="0"/>
          <w:sz w:val="24"/>
          <w:szCs w:val="24"/>
          <w:shd w:val="clear" w:color="auto" w:fill="FFFFFF"/>
        </w:rPr>
        <w:t>3.通讯地址：芜湖市高校园区文昌西路22号皖南医学院</w:t>
      </w:r>
      <w:r>
        <w:rPr>
          <w:rFonts w:hint="eastAsia" w:ascii="宋体" w:hAnsi="宋体" w:cs="宋体"/>
          <w:kern w:val="0"/>
          <w:sz w:val="24"/>
          <w:szCs w:val="24"/>
          <w:shd w:val="clear" w:color="auto" w:fill="FFFFFF"/>
          <w:lang w:eastAsia="zh-CN"/>
        </w:rPr>
        <w:t>纪委</w:t>
      </w:r>
      <w:r>
        <w:rPr>
          <w:rFonts w:hint="eastAsia" w:ascii="宋体" w:hAnsi="宋体" w:cs="宋体"/>
          <w:kern w:val="0"/>
          <w:sz w:val="24"/>
          <w:szCs w:val="24"/>
          <w:shd w:val="clear" w:color="auto" w:fill="FFFFFF"/>
        </w:rPr>
        <w:t>办公室</w:t>
      </w:r>
      <w:r>
        <w:rPr>
          <w:rFonts w:hint="eastAsia" w:ascii="宋体" w:hAnsi="宋体" w:cs="宋体"/>
          <w:kern w:val="0"/>
          <w:sz w:val="24"/>
          <w:szCs w:val="24"/>
          <w:shd w:val="clear" w:color="auto" w:fill="FFFFFF"/>
          <w:lang w:eastAsia="zh-CN"/>
        </w:rPr>
        <w:t>。</w:t>
      </w:r>
    </w:p>
    <w:p>
      <w:pPr>
        <w:pStyle w:val="39"/>
        <w:snapToGrid w:val="0"/>
        <w:ind w:left="0" w:leftChars="0" w:right="280" w:rightChars="100" w:firstLine="0" w:firstLineChars="0"/>
        <w:rPr>
          <w:rFonts w:ascii="仿宋_GB2312" w:hAnsi="宋体" w:eastAsia="仿宋_GB2312"/>
          <w:bCs/>
          <w:szCs w:val="28"/>
        </w:rPr>
      </w:pPr>
    </w:p>
    <w:p>
      <w:pPr>
        <w:pStyle w:val="39"/>
        <w:snapToGrid w:val="0"/>
        <w:ind w:left="0" w:leftChars="0" w:right="280" w:rightChars="100" w:firstLine="0" w:firstLineChars="0"/>
        <w:rPr>
          <w:rFonts w:ascii="仿宋_GB2312" w:hAnsi="宋体" w:eastAsia="仿宋_GB2312"/>
          <w:bCs/>
          <w:szCs w:val="28"/>
        </w:rPr>
      </w:pPr>
    </w:p>
    <w:p>
      <w:pPr>
        <w:pStyle w:val="5"/>
        <w:numPr>
          <w:ilvl w:val="0"/>
          <w:numId w:val="2"/>
        </w:numPr>
        <w:snapToGrid w:val="0"/>
        <w:spacing w:before="0" w:after="0"/>
        <w:ind w:left="947" w:hanging="947"/>
        <w:jc w:val="center"/>
        <w:rPr>
          <w:rFonts w:hint="eastAsia"/>
        </w:rPr>
      </w:pPr>
      <w:bookmarkStart w:id="107" w:name="_Toc49763002"/>
      <w:r>
        <w:rPr>
          <w:rFonts w:hint="eastAsia" w:ascii="华文中宋" w:hAnsi="华文中宋" w:eastAsia="华文中宋"/>
          <w:bCs w:val="0"/>
          <w:color w:val="auto"/>
          <w:highlight w:val="none"/>
        </w:rPr>
        <w:t xml:space="preserve"> 合同主要条款</w:t>
      </w:r>
      <w:bookmarkEnd w:id="107"/>
    </w:p>
    <w:p>
      <w:pPr>
        <w:rPr>
          <w:rFonts w:hint="eastAsia" w:ascii="华文中宋" w:hAnsi="华文中宋" w:eastAsia="华文中宋"/>
          <w:bCs/>
          <w:color w:val="auto"/>
          <w:highlight w:val="none"/>
        </w:rPr>
      </w:pPr>
    </w:p>
    <w:p>
      <w:pPr>
        <w:pStyle w:val="26"/>
        <w:rPr>
          <w:rFonts w:hint="eastAsia" w:ascii="华文中宋" w:hAnsi="华文中宋" w:eastAsia="华文中宋"/>
          <w:bCs/>
          <w:color w:val="auto"/>
          <w:highlight w:val="none"/>
        </w:rPr>
      </w:pPr>
    </w:p>
    <w:p>
      <w:pPr>
        <w:pStyle w:val="22"/>
        <w:rPr>
          <w:rFonts w:hint="eastAsia" w:ascii="华文中宋" w:hAnsi="华文中宋" w:eastAsia="华文中宋"/>
          <w:bCs/>
          <w:color w:val="auto"/>
          <w:highlight w:val="none"/>
        </w:rPr>
      </w:pPr>
    </w:p>
    <w:p>
      <w:pPr>
        <w:pStyle w:val="22"/>
        <w:rPr>
          <w:rFonts w:hint="eastAsia" w:ascii="华文中宋" w:hAnsi="华文中宋" w:eastAsia="华文中宋"/>
          <w:bCs/>
          <w:color w:val="auto"/>
          <w:highlight w:val="none"/>
        </w:rPr>
      </w:pPr>
    </w:p>
    <w:p>
      <w:pPr>
        <w:spacing w:line="720" w:lineRule="auto"/>
        <w:jc w:val="center"/>
        <w:rPr>
          <w:rFonts w:hint="eastAsia" w:eastAsia="黑体"/>
          <w:spacing w:val="80"/>
          <w:sz w:val="84"/>
        </w:rPr>
      </w:pPr>
      <w:r>
        <w:rPr>
          <w:rFonts w:hint="eastAsia" w:eastAsia="黑体"/>
          <w:spacing w:val="80"/>
          <w:sz w:val="84"/>
        </w:rPr>
        <w:t>工  程  检  测</w:t>
      </w:r>
    </w:p>
    <w:p>
      <w:pPr>
        <w:spacing w:line="720" w:lineRule="auto"/>
        <w:jc w:val="center"/>
        <w:rPr>
          <w:rFonts w:hint="eastAsia" w:eastAsia="黑体"/>
          <w:spacing w:val="80"/>
          <w:sz w:val="84"/>
        </w:rPr>
      </w:pPr>
      <w:r>
        <w:rPr>
          <w:rFonts w:hint="eastAsia" w:eastAsia="黑体"/>
          <w:spacing w:val="80"/>
          <w:sz w:val="84"/>
        </w:rPr>
        <w:t>协 议 书</w:t>
      </w:r>
    </w:p>
    <w:p>
      <w:pPr>
        <w:spacing w:line="720" w:lineRule="auto"/>
        <w:jc w:val="center"/>
        <w:rPr>
          <w:rFonts w:hint="eastAsia"/>
          <w:b/>
          <w:sz w:val="84"/>
        </w:rPr>
      </w:pPr>
    </w:p>
    <w:p>
      <w:pPr>
        <w:spacing w:line="720" w:lineRule="auto"/>
        <w:jc w:val="center"/>
        <w:rPr>
          <w:rFonts w:hint="eastAsia"/>
          <w:b/>
          <w:sz w:val="84"/>
        </w:rPr>
      </w:pPr>
    </w:p>
    <w:p>
      <w:pPr>
        <w:spacing w:line="720" w:lineRule="auto"/>
        <w:jc w:val="center"/>
        <w:rPr>
          <w:rFonts w:hint="eastAsia"/>
        </w:rPr>
      </w:pPr>
    </w:p>
    <w:p>
      <w:pPr>
        <w:jc w:val="both"/>
        <w:rPr>
          <w:rFonts w:hint="eastAsia" w:eastAsia="宋体"/>
          <w:sz w:val="36"/>
          <w:szCs w:val="36"/>
          <w:u w:val="single"/>
          <w:lang w:val="en-US" w:eastAsia="zh-CN"/>
        </w:rPr>
      </w:pPr>
      <w:r>
        <w:rPr>
          <w:spacing w:val="30"/>
          <w:sz w:val="36"/>
        </w:rPr>
        <mc:AlternateContent>
          <mc:Choice Requires="wps">
            <w:drawing>
              <wp:anchor distT="0" distB="0" distL="114300" distR="114300" simplePos="0" relativeHeight="251661312" behindDoc="0" locked="0" layoutInCell="1" allowOverlap="1">
                <wp:simplePos x="0" y="0"/>
                <wp:positionH relativeFrom="column">
                  <wp:posOffset>1638300</wp:posOffset>
                </wp:positionH>
                <wp:positionV relativeFrom="paragraph">
                  <wp:posOffset>421640</wp:posOffset>
                </wp:positionV>
                <wp:extent cx="4295775" cy="0"/>
                <wp:effectExtent l="0" t="0" r="0" b="0"/>
                <wp:wrapNone/>
                <wp:docPr id="3" name="直线 6"/>
                <wp:cNvGraphicFramePr/>
                <a:graphic xmlns:a="http://schemas.openxmlformats.org/drawingml/2006/main">
                  <a:graphicData uri="http://schemas.microsoft.com/office/word/2010/wordprocessingShape">
                    <wps:wsp>
                      <wps:cNvCnPr/>
                      <wps:spPr>
                        <a:xfrm>
                          <a:off x="0" y="0"/>
                          <a:ext cx="42957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29pt;margin-top:33.2pt;height:0pt;width:338.25pt;z-index:251661312;mso-width-relative:page;mso-height-relative:page;" filled="f" stroked="t" coordsize="21600,21600" o:gfxdata="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OV&#10;+9gAAAAJAQAADwAAAAAAAAABACAAAAAiAAAAZHJzL2Rvd25yZXYueG1sUEsBAhQAFAAAAAgAh07i&#10;QKXy11zpAQAA2wMAAA4AAAAAAAAAAQAgAAAAJwEAAGRycy9lMm9Eb2MueG1sUEsFBgAAAAAGAAYA&#10;WQEAAIIFAAAAAA==&#10;">
                <v:fill on="f" focussize="0,0"/>
                <v:stroke color="#000000" joinstyle="round"/>
                <v:imagedata o:title=""/>
                <o:lock v:ext="edit" aspectratio="f"/>
              </v:line>
            </w:pict>
          </mc:Fallback>
        </mc:AlternateContent>
      </w:r>
      <w:r>
        <w:rPr>
          <w:rFonts w:hint="eastAsia"/>
          <w:spacing w:val="30"/>
          <w:sz w:val="36"/>
        </w:rPr>
        <w:t>工 程 名 称</w:t>
      </w:r>
      <w:r>
        <w:rPr>
          <w:rFonts w:hint="eastAsia"/>
          <w:spacing w:val="30"/>
          <w:sz w:val="36"/>
          <w:lang w:eastAsia="zh-CN"/>
        </w:rPr>
        <w:t>：</w:t>
      </w:r>
      <w:r>
        <w:rPr>
          <w:rFonts w:hint="eastAsia" w:eastAsia="宋体" w:cs="Times New Roman"/>
          <w:sz w:val="28"/>
          <w:szCs w:val="28"/>
          <w:lang w:val="en-US" w:eastAsia="zh-CN"/>
        </w:rPr>
        <w:t>皖南医学院楼宇钢网架等安全检测鉴定项目</w:t>
      </w:r>
    </w:p>
    <w:p>
      <w:pPr>
        <w:rPr>
          <w:rFonts w:hint="eastAsia"/>
          <w:sz w:val="30"/>
        </w:rPr>
      </w:pPr>
      <w:r>
        <w:rPr>
          <w:spacing w:val="30"/>
          <w:sz w:val="36"/>
        </w:rPr>
        <mc:AlternateContent>
          <mc:Choice Requires="wps">
            <w:drawing>
              <wp:anchor distT="0" distB="0" distL="114300" distR="114300" simplePos="0" relativeHeight="251662336" behindDoc="0" locked="0" layoutInCell="1" allowOverlap="1">
                <wp:simplePos x="0" y="0"/>
                <wp:positionH relativeFrom="column">
                  <wp:posOffset>1625600</wp:posOffset>
                </wp:positionH>
                <wp:positionV relativeFrom="paragraph">
                  <wp:posOffset>358140</wp:posOffset>
                </wp:positionV>
                <wp:extent cx="4308475" cy="0"/>
                <wp:effectExtent l="0" t="0" r="0" b="0"/>
                <wp:wrapNone/>
                <wp:docPr id="4" name="直线 7"/>
                <wp:cNvGraphicFramePr/>
                <a:graphic xmlns:a="http://schemas.openxmlformats.org/drawingml/2006/main">
                  <a:graphicData uri="http://schemas.microsoft.com/office/word/2010/wordprocessingShape">
                    <wps:wsp>
                      <wps:cNvCnPr/>
                      <wps:spPr>
                        <a:xfrm>
                          <a:off x="0" y="0"/>
                          <a:ext cx="43084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128pt;margin-top:28.2pt;height:0pt;width:339.25pt;z-index:251662336;mso-width-relative:page;mso-height-relative:page;" filled="f" stroked="t" coordsize="21600,21600" o:gfxdata="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9K0T&#10;rtgAAAAJAQAADwAAAAAAAAABACAAAAAiAAAAZHJzL2Rvd25yZXYueG1sUEsBAhQAFAAAAAgAh07i&#10;QLqd/THpAQAA2wMAAA4AAAAAAAAAAQAgAAAAJwEAAGRycy9lMm9Eb2MueG1sUEsFBgAAAAAGAAYA&#10;WQEAAIIFAAAAAA==&#10;">
                <v:fill on="f" focussize="0,0"/>
                <v:stroke color="#000000" joinstyle="round"/>
                <v:imagedata o:title=""/>
                <o:lock v:ext="edit" aspectratio="f"/>
              </v:line>
            </w:pict>
          </mc:Fallback>
        </mc:AlternateContent>
      </w:r>
      <w:r>
        <w:rPr>
          <w:rFonts w:hint="eastAsia"/>
          <w:sz w:val="36"/>
        </w:rPr>
        <w:t>委托单位(甲方)：</w:t>
      </w:r>
      <w:r>
        <w:rPr>
          <w:rFonts w:hint="eastAsia"/>
          <w:sz w:val="28"/>
          <w:szCs w:val="28"/>
        </w:rPr>
        <w:t>皖南医学院</w:t>
      </w:r>
    </w:p>
    <w:p>
      <w:pPr>
        <w:spacing w:line="720" w:lineRule="auto"/>
        <w:ind w:left="2520" w:hanging="2520"/>
        <w:rPr>
          <w:rFonts w:hint="eastAsia"/>
          <w:sz w:val="36"/>
          <w:u w:val="single"/>
        </w:rPr>
      </w:pPr>
      <w:r>
        <w:rPr>
          <w:spacing w:val="30"/>
          <w:sz w:val="36"/>
        </w:rPr>
        <mc:AlternateContent>
          <mc:Choice Requires="wps">
            <w:drawing>
              <wp:anchor distT="0" distB="0" distL="114300" distR="114300" simplePos="0" relativeHeight="251663360" behindDoc="0" locked="0" layoutInCell="1" allowOverlap="1">
                <wp:simplePos x="0" y="0"/>
                <wp:positionH relativeFrom="column">
                  <wp:posOffset>1635760</wp:posOffset>
                </wp:positionH>
                <wp:positionV relativeFrom="paragraph">
                  <wp:posOffset>408305</wp:posOffset>
                </wp:positionV>
                <wp:extent cx="4298315" cy="4445"/>
                <wp:effectExtent l="0" t="0" r="0" b="0"/>
                <wp:wrapNone/>
                <wp:docPr id="5" name="直线 8"/>
                <wp:cNvGraphicFramePr/>
                <a:graphic xmlns:a="http://schemas.openxmlformats.org/drawingml/2006/main">
                  <a:graphicData uri="http://schemas.microsoft.com/office/word/2010/wordprocessingShape">
                    <wps:wsp>
                      <wps:cNvCnPr/>
                      <wps:spPr>
                        <a:xfrm flipV="1">
                          <a:off x="0" y="0"/>
                          <a:ext cx="4298315" cy="44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flip:y;margin-left:128.8pt;margin-top:32.15pt;height:0.35pt;width:338.45pt;z-index:251663360;mso-width-relative:page;mso-height-relative:page;" filled="f" stroked="t" coordsize="21600,21600" o:gfxdata="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0aaXb2AAAAAkBAAAPAAAAAAAAAAEAIAAAACIAAABkcnMvZG93bnJldi54bWxQSwECFAAU&#10;AAAACACHTuJACQiS3vEBAADoAwAADgAAAAAAAAABACAAAAAnAQAAZHJzL2Uyb0RvYy54bWxQSwUG&#10;AAAAAAYABgBZAQAAigUAAAAA&#10;">
                <v:fill on="f" focussize="0,0"/>
                <v:stroke color="#000000" joinstyle="round"/>
                <v:imagedata o:title=""/>
                <o:lock v:ext="edit" aspectratio="f"/>
              </v:line>
            </w:pict>
          </mc:Fallback>
        </mc:AlternateContent>
      </w:r>
      <w:r>
        <w:rPr>
          <w:rFonts w:hint="eastAsia"/>
          <w:sz w:val="36"/>
        </w:rPr>
        <w:t xml:space="preserve">检测单位(乙方)：   </w:t>
      </w:r>
    </w:p>
    <w:p>
      <w:pPr>
        <w:spacing w:line="720" w:lineRule="auto"/>
        <w:rPr>
          <w:rFonts w:hint="eastAsia"/>
          <w:sz w:val="36"/>
          <w:u w:val="single"/>
        </w:rPr>
      </w:pPr>
    </w:p>
    <w:p>
      <w:pPr>
        <w:spacing w:line="560" w:lineRule="exact"/>
        <w:rPr>
          <w:rFonts w:hint="eastAsia"/>
          <w:b/>
          <w:sz w:val="28"/>
        </w:rPr>
      </w:pPr>
    </w:p>
    <w:p>
      <w:pPr>
        <w:spacing w:line="500" w:lineRule="exact"/>
        <w:ind w:firstLine="562" w:firstLineChars="200"/>
        <w:rPr>
          <w:rFonts w:hint="eastAsia"/>
          <w:b/>
          <w:sz w:val="28"/>
        </w:rPr>
      </w:pPr>
    </w:p>
    <w:p>
      <w:pPr>
        <w:spacing w:line="500" w:lineRule="exact"/>
        <w:rPr>
          <w:rFonts w:hint="eastAsia"/>
          <w:b/>
          <w:sz w:val="28"/>
        </w:rPr>
      </w:pPr>
    </w:p>
    <w:p>
      <w:pPr>
        <w:spacing w:line="500" w:lineRule="exact"/>
        <w:ind w:firstLine="560" w:firstLineChars="200"/>
        <w:rPr>
          <w:rFonts w:hint="eastAsia"/>
          <w:sz w:val="28"/>
        </w:rPr>
      </w:pPr>
    </w:p>
    <w:p>
      <w:pPr>
        <w:spacing w:line="360" w:lineRule="auto"/>
        <w:rPr>
          <w:rFonts w:ascii="宋体" w:hAnsi="宋体" w:cs="宋体"/>
          <w:b/>
          <w:bCs/>
          <w:sz w:val="28"/>
          <w:szCs w:val="28"/>
        </w:rPr>
      </w:pPr>
      <w:r>
        <w:rPr>
          <w:rFonts w:hint="eastAsia" w:ascii="宋体" w:hAnsi="宋体" w:cs="宋体"/>
          <w:b/>
          <w:bCs/>
          <w:sz w:val="28"/>
          <w:szCs w:val="28"/>
        </w:rPr>
        <w:t>一、工程概况</w:t>
      </w:r>
    </w:p>
    <w:p>
      <w:pPr>
        <w:ind w:firstLine="560" w:firstLineChars="200"/>
        <w:jc w:val="both"/>
        <w:rPr>
          <w:rFonts w:hint="eastAsia" w:eastAsia="宋体" w:cs="Times New Roman"/>
          <w:sz w:val="28"/>
          <w:szCs w:val="28"/>
          <w:lang w:val="en-US" w:eastAsia="zh-CN"/>
        </w:rPr>
      </w:pPr>
      <w:r>
        <w:rPr>
          <w:rFonts w:hint="eastAsia" w:ascii="宋体" w:hAnsi="宋体" w:cs="宋体"/>
          <w:sz w:val="28"/>
          <w:szCs w:val="28"/>
        </w:rPr>
        <w:t>1.工程名称：</w:t>
      </w:r>
      <w:r>
        <w:rPr>
          <w:rFonts w:hint="eastAsia" w:eastAsia="宋体" w:cs="Times New Roman"/>
          <w:sz w:val="28"/>
          <w:szCs w:val="28"/>
          <w:lang w:val="en-US" w:eastAsia="zh-CN"/>
        </w:rPr>
        <w:t>皖南医学院楼宇钢网架等安全检测鉴定项目</w:t>
      </w:r>
    </w:p>
    <w:p>
      <w:pPr>
        <w:ind w:firstLine="2240" w:firstLineChars="800"/>
        <w:jc w:val="both"/>
        <w:rPr>
          <w:rFonts w:ascii="宋体" w:hAnsi="宋体" w:cs="宋体"/>
          <w:sz w:val="28"/>
          <w:szCs w:val="28"/>
          <w:u w:val="single"/>
        </w:rPr>
      </w:pPr>
      <w:r>
        <w:rPr>
          <w:rFonts w:hint="eastAsia" w:ascii="宋体" w:hAnsi="宋体" w:cs="宋体"/>
          <w:sz w:val="28"/>
          <w:szCs w:val="28"/>
        </w:rPr>
        <w:t>（合同编号：</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GYGZ2022015-1</w:t>
      </w:r>
      <w:r>
        <w:rPr>
          <w:rFonts w:hint="eastAsia" w:ascii="宋体" w:hAnsi="宋体" w:cs="宋体"/>
          <w:sz w:val="28"/>
          <w:szCs w:val="28"/>
          <w:u w:val="single"/>
        </w:rPr>
        <w:t xml:space="preserve">    </w:t>
      </w:r>
      <w:r>
        <w:rPr>
          <w:rFonts w:hint="eastAsia" w:ascii="宋体" w:hAnsi="宋体" w:cs="宋体"/>
          <w:sz w:val="28"/>
          <w:szCs w:val="28"/>
        </w:rPr>
        <w:t>）</w:t>
      </w:r>
    </w:p>
    <w:p>
      <w:pPr>
        <w:spacing w:line="360" w:lineRule="auto"/>
        <w:ind w:firstLine="560" w:firstLineChars="200"/>
        <w:rPr>
          <w:rFonts w:ascii="宋体" w:hAnsi="宋体" w:cs="宋体"/>
          <w:sz w:val="28"/>
          <w:szCs w:val="28"/>
        </w:rPr>
      </w:pPr>
      <w:r>
        <w:rPr>
          <w:rFonts w:hint="eastAsia" w:ascii="宋体" w:hAnsi="宋体" w:cs="宋体"/>
          <w:sz w:val="28"/>
          <w:szCs w:val="28"/>
        </w:rPr>
        <w:t>2.工程地点：</w:t>
      </w:r>
      <w:r>
        <w:rPr>
          <w:rFonts w:hint="eastAsia" w:ascii="宋体" w:hAnsi="宋体" w:cs="宋体"/>
          <w:sz w:val="28"/>
          <w:szCs w:val="28"/>
          <w:u w:val="single"/>
        </w:rPr>
        <w:t xml:space="preserve">  皖南医学院滨江及赭麓校区</w:t>
      </w:r>
    </w:p>
    <w:p>
      <w:pPr>
        <w:spacing w:line="360" w:lineRule="auto"/>
        <w:ind w:firstLine="560" w:firstLineChars="200"/>
        <w:rPr>
          <w:rFonts w:ascii="宋体" w:hAnsi="宋体" w:cs="宋体"/>
          <w:sz w:val="28"/>
          <w:szCs w:val="28"/>
        </w:rPr>
      </w:pPr>
      <w:r>
        <w:rPr>
          <w:rFonts w:hint="eastAsia" w:ascii="宋体" w:hAnsi="宋体" w:cs="宋体"/>
          <w:sz w:val="28"/>
          <w:szCs w:val="28"/>
        </w:rPr>
        <w:t>3.合同价：</w:t>
      </w:r>
      <w:r>
        <w:rPr>
          <w:rFonts w:hint="eastAsia" w:ascii="宋体" w:hAnsi="宋体" w:cs="宋体"/>
          <w:sz w:val="28"/>
          <w:szCs w:val="28"/>
          <w:u w:val="single"/>
        </w:rPr>
        <w:t xml:space="preserve">                            </w:t>
      </w:r>
      <w:r>
        <w:rPr>
          <w:rFonts w:hint="eastAsia" w:ascii="宋体" w:hAnsi="宋体" w:cs="宋体"/>
          <w:sz w:val="28"/>
          <w:szCs w:val="28"/>
        </w:rPr>
        <w:t>（小写：</w:t>
      </w:r>
      <w:r>
        <w:rPr>
          <w:rFonts w:hint="eastAsia" w:ascii="宋体" w:hAnsi="宋体" w:cs="宋体"/>
          <w:sz w:val="28"/>
          <w:szCs w:val="28"/>
          <w:u w:val="single"/>
        </w:rPr>
        <w:t xml:space="preserve">    </w:t>
      </w:r>
      <w:r>
        <w:rPr>
          <w:rFonts w:hint="eastAsia" w:ascii="宋体" w:hAnsi="宋体" w:cs="宋体"/>
          <w:sz w:val="28"/>
          <w:szCs w:val="28"/>
        </w:rPr>
        <w:t>）。</w:t>
      </w:r>
    </w:p>
    <w:p>
      <w:pPr>
        <w:spacing w:line="360" w:lineRule="auto"/>
        <w:ind w:firstLine="560" w:firstLineChars="200"/>
        <w:rPr>
          <w:rFonts w:ascii="宋体" w:hAnsi="宋体" w:cs="宋体"/>
          <w:sz w:val="28"/>
          <w:szCs w:val="28"/>
        </w:rPr>
      </w:pPr>
      <w:r>
        <w:rPr>
          <w:rFonts w:hint="eastAsia" w:ascii="宋体" w:hAnsi="宋体" w:cs="宋体"/>
          <w:sz w:val="28"/>
          <w:szCs w:val="28"/>
        </w:rPr>
        <w:t>4.合同工期：工期</w:t>
      </w:r>
      <w:r>
        <w:rPr>
          <w:rFonts w:hint="eastAsia" w:ascii="宋体" w:hAnsi="宋体" w:cs="宋体"/>
          <w:sz w:val="28"/>
          <w:szCs w:val="28"/>
          <w:u w:val="single"/>
        </w:rPr>
        <w:t xml:space="preserve">  60  </w:t>
      </w:r>
      <w:r>
        <w:rPr>
          <w:rFonts w:hint="eastAsia" w:ascii="宋体" w:hAnsi="宋体" w:cs="宋体"/>
          <w:sz w:val="28"/>
          <w:szCs w:val="28"/>
        </w:rPr>
        <w:t>日历天，从甲方书面通知进场检测时间开始计算。因乙方原因推迟的按</w:t>
      </w:r>
      <w:r>
        <w:rPr>
          <w:rFonts w:hint="eastAsia" w:ascii="宋体" w:hAnsi="宋体" w:cs="宋体"/>
          <w:sz w:val="28"/>
          <w:szCs w:val="28"/>
          <w:u w:val="single"/>
        </w:rPr>
        <w:t xml:space="preserve"> 1000.00  </w:t>
      </w:r>
      <w:r>
        <w:rPr>
          <w:rFonts w:hint="eastAsia" w:ascii="宋体" w:hAnsi="宋体" w:cs="宋体"/>
          <w:sz w:val="28"/>
          <w:szCs w:val="28"/>
        </w:rPr>
        <w:t>元/天对其进行处罚（甲方原因除外，但需乙方书面提出，甲方现场负责人签字确认）；推迟10天及以上甲方将发函警告乙方并没收其全部工程履约保证金，将其录入学校黑名单库，3年内禁止参加学校任何招投标活动。不可抗力因素除外。</w:t>
      </w:r>
    </w:p>
    <w:p>
      <w:pPr>
        <w:spacing w:line="360" w:lineRule="auto"/>
        <w:rPr>
          <w:rFonts w:ascii="宋体" w:hAnsi="宋体" w:cs="宋体"/>
          <w:b/>
          <w:sz w:val="28"/>
          <w:szCs w:val="28"/>
        </w:rPr>
      </w:pPr>
      <w:r>
        <w:rPr>
          <w:rFonts w:hint="eastAsia" w:ascii="宋体" w:hAnsi="宋体" w:cs="宋体"/>
          <w:b/>
          <w:sz w:val="28"/>
          <w:szCs w:val="28"/>
        </w:rPr>
        <w:t>二、合同文件构成</w:t>
      </w:r>
    </w:p>
    <w:p>
      <w:pPr>
        <w:spacing w:line="360" w:lineRule="auto"/>
        <w:ind w:firstLine="560" w:firstLineChars="200"/>
        <w:rPr>
          <w:rFonts w:ascii="宋体" w:hAnsi="宋体"/>
          <w:bCs/>
          <w:color w:val="000000"/>
          <w:sz w:val="28"/>
          <w:szCs w:val="28"/>
        </w:rPr>
      </w:pPr>
      <w:r>
        <w:rPr>
          <w:rFonts w:ascii="宋体" w:hAnsi="宋体"/>
          <w:bCs/>
          <w:color w:val="000000"/>
          <w:sz w:val="28"/>
          <w:szCs w:val="28"/>
        </w:rPr>
        <w:t>本</w:t>
      </w:r>
      <w:r>
        <w:rPr>
          <w:rFonts w:hint="eastAsia" w:ascii="宋体" w:hAnsi="宋体"/>
          <w:bCs/>
          <w:color w:val="000000"/>
          <w:sz w:val="28"/>
          <w:szCs w:val="28"/>
        </w:rPr>
        <w:t>合同</w:t>
      </w:r>
      <w:r>
        <w:rPr>
          <w:rFonts w:ascii="宋体" w:hAnsi="宋体"/>
          <w:bCs/>
          <w:color w:val="000000"/>
          <w:sz w:val="28"/>
          <w:szCs w:val="28"/>
        </w:rPr>
        <w:t>与下列文件一起构成合同文件：</w:t>
      </w:r>
    </w:p>
    <w:p>
      <w:pPr>
        <w:autoSpaceDE w:val="0"/>
        <w:autoSpaceDN w:val="0"/>
        <w:adjustRightInd w:val="0"/>
        <w:spacing w:line="360" w:lineRule="auto"/>
        <w:ind w:firstLine="560" w:firstLineChars="200"/>
        <w:jc w:val="left"/>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w:t>
      </w:r>
      <w:r>
        <w:rPr>
          <w:rFonts w:ascii="宋体" w:hAnsi="宋体"/>
          <w:color w:val="000000"/>
          <w:sz w:val="28"/>
          <w:szCs w:val="28"/>
        </w:rPr>
        <w:t>中标通知书；</w:t>
      </w:r>
    </w:p>
    <w:p>
      <w:pPr>
        <w:autoSpaceDE w:val="0"/>
        <w:autoSpaceDN w:val="0"/>
        <w:adjustRightInd w:val="0"/>
        <w:spacing w:line="360" w:lineRule="auto"/>
        <w:ind w:firstLine="560" w:firstLineChars="200"/>
        <w:jc w:val="left"/>
        <w:rPr>
          <w:rFonts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.采购文件</w:t>
      </w:r>
      <w:r>
        <w:rPr>
          <w:rFonts w:ascii="宋体" w:hAnsi="宋体"/>
          <w:color w:val="000000"/>
          <w:sz w:val="28"/>
          <w:szCs w:val="28"/>
        </w:rPr>
        <w:t xml:space="preserve">； </w:t>
      </w:r>
    </w:p>
    <w:p>
      <w:pPr>
        <w:autoSpaceDE w:val="0"/>
        <w:autoSpaceDN w:val="0"/>
        <w:adjustRightInd w:val="0"/>
        <w:spacing w:line="360" w:lineRule="auto"/>
        <w:ind w:firstLine="560" w:firstLineChars="200"/>
        <w:jc w:val="left"/>
        <w:rPr>
          <w:rFonts w:ascii="宋体" w:hAnsi="宋体"/>
          <w:color w:val="000000"/>
          <w:sz w:val="28"/>
          <w:szCs w:val="28"/>
        </w:rPr>
      </w:pPr>
      <w:r>
        <w:rPr>
          <w:rFonts w:ascii="宋体" w:hAnsi="宋体"/>
          <w:color w:val="000000"/>
          <w:sz w:val="28"/>
          <w:szCs w:val="28"/>
        </w:rPr>
        <w:t>3</w:t>
      </w:r>
      <w:r>
        <w:rPr>
          <w:rFonts w:hint="eastAsia" w:ascii="宋体" w:hAnsi="宋体"/>
          <w:color w:val="000000"/>
          <w:sz w:val="28"/>
          <w:szCs w:val="28"/>
        </w:rPr>
        <w:t>.</w:t>
      </w:r>
      <w:r>
        <w:rPr>
          <w:rFonts w:ascii="宋体" w:hAnsi="宋体"/>
          <w:color w:val="000000"/>
          <w:sz w:val="28"/>
          <w:szCs w:val="28"/>
        </w:rPr>
        <w:t>投标</w:t>
      </w:r>
      <w:r>
        <w:rPr>
          <w:rFonts w:hint="eastAsia" w:ascii="宋体" w:hAnsi="宋体"/>
          <w:color w:val="000000"/>
          <w:sz w:val="28"/>
          <w:szCs w:val="28"/>
        </w:rPr>
        <w:t>文件</w:t>
      </w:r>
      <w:r>
        <w:rPr>
          <w:rFonts w:ascii="宋体" w:hAnsi="宋体"/>
          <w:color w:val="000000"/>
          <w:sz w:val="28"/>
          <w:szCs w:val="28"/>
        </w:rPr>
        <w:t>；</w:t>
      </w:r>
    </w:p>
    <w:p>
      <w:pPr>
        <w:autoSpaceDE w:val="0"/>
        <w:autoSpaceDN w:val="0"/>
        <w:adjustRightIn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4.</w:t>
      </w:r>
      <w:r>
        <w:rPr>
          <w:rFonts w:ascii="宋体" w:hAnsi="宋体"/>
          <w:color w:val="000000"/>
          <w:sz w:val="28"/>
          <w:szCs w:val="28"/>
        </w:rPr>
        <w:t>其他合同文件。</w:t>
      </w:r>
    </w:p>
    <w:p>
      <w:pPr>
        <w:autoSpaceDE w:val="0"/>
        <w:autoSpaceDN w:val="0"/>
        <w:adjustRightInd w:val="0"/>
        <w:spacing w:line="360" w:lineRule="auto"/>
        <w:ind w:firstLine="560" w:firstLineChars="200"/>
        <w:jc w:val="left"/>
        <w:rPr>
          <w:rFonts w:ascii="宋体" w:hAnsi="宋体"/>
          <w:color w:val="000000"/>
          <w:sz w:val="28"/>
          <w:szCs w:val="28"/>
        </w:rPr>
      </w:pPr>
      <w:r>
        <w:rPr>
          <w:rFonts w:ascii="宋体" w:hAnsi="宋体"/>
          <w:color w:val="000000"/>
          <w:sz w:val="28"/>
          <w:szCs w:val="28"/>
        </w:rPr>
        <w:t>在合同订立及履行过程中形成的与合同有关的文件均构成合同文件组成部分。</w:t>
      </w:r>
    </w:p>
    <w:p>
      <w:pPr>
        <w:spacing w:line="360" w:lineRule="auto"/>
        <w:ind w:firstLine="560" w:firstLineChars="200"/>
        <w:rPr>
          <w:rFonts w:ascii="宋体" w:hAnsi="宋体" w:cs="宋体"/>
          <w:sz w:val="28"/>
          <w:szCs w:val="28"/>
        </w:rPr>
      </w:pPr>
      <w:r>
        <w:rPr>
          <w:rFonts w:ascii="宋体" w:hAnsi="宋体"/>
          <w:color w:val="000000"/>
          <w:sz w:val="28"/>
          <w:szCs w:val="28"/>
        </w:rPr>
        <w:t>上述各项合同文件包括合同当事人就该项合同文件所作出的补充和修改，属于同一类内容的文件，应以最新签署的为准。</w:t>
      </w:r>
    </w:p>
    <w:p>
      <w:pPr>
        <w:spacing w:line="360" w:lineRule="auto"/>
        <w:rPr>
          <w:rFonts w:ascii="宋体" w:hAnsi="宋体" w:cs="宋体"/>
          <w:b/>
          <w:sz w:val="28"/>
          <w:szCs w:val="28"/>
        </w:rPr>
      </w:pPr>
      <w:r>
        <w:rPr>
          <w:rFonts w:hint="eastAsia" w:ascii="宋体" w:hAnsi="宋体" w:cs="宋体"/>
          <w:b/>
          <w:sz w:val="28"/>
          <w:szCs w:val="28"/>
        </w:rPr>
        <w:t>三、付款方式：</w:t>
      </w:r>
    </w:p>
    <w:p>
      <w:pPr>
        <w:spacing w:line="600" w:lineRule="exact"/>
        <w:ind w:firstLine="560" w:firstLineChars="200"/>
        <w:jc w:val="both"/>
        <w:rPr>
          <w:color w:val="000000"/>
          <w:sz w:val="28"/>
          <w:szCs w:val="28"/>
        </w:rPr>
      </w:pPr>
      <w:r>
        <w:rPr>
          <w:rFonts w:hint="eastAsia" w:ascii="宋体" w:hAnsi="宋体" w:cs="宋体"/>
          <w:color w:val="000000"/>
          <w:sz w:val="28"/>
          <w:szCs w:val="28"/>
        </w:rPr>
        <w:t>工程在工期内（含</w:t>
      </w:r>
      <w:r>
        <w:rPr>
          <w:rFonts w:hint="eastAsia"/>
          <w:color w:val="000000"/>
          <w:sz w:val="28"/>
          <w:szCs w:val="28"/>
        </w:rPr>
        <w:t>局部破损性试验按原样恢复所需要的时间</w:t>
      </w:r>
      <w:r>
        <w:rPr>
          <w:rFonts w:hint="eastAsia" w:ascii="宋体" w:hAnsi="宋体" w:cs="宋体"/>
          <w:color w:val="000000"/>
          <w:sz w:val="28"/>
          <w:szCs w:val="28"/>
        </w:rPr>
        <w:t>）提交合格的</w:t>
      </w:r>
      <w:r>
        <w:rPr>
          <w:rFonts w:hint="eastAsia"/>
          <w:color w:val="000000"/>
          <w:sz w:val="28"/>
          <w:szCs w:val="28"/>
        </w:rPr>
        <w:t>安全检测鉴定报告（捌份原件）以及后期</w:t>
      </w:r>
      <w:r>
        <w:rPr>
          <w:color w:val="000000"/>
          <w:sz w:val="28"/>
          <w:szCs w:val="28"/>
        </w:rPr>
        <w:t>服务费</w:t>
      </w:r>
      <w:r>
        <w:rPr>
          <w:rFonts w:hint="eastAsia"/>
          <w:color w:val="000000"/>
          <w:sz w:val="28"/>
          <w:szCs w:val="28"/>
        </w:rPr>
        <w:t>10000.00元汇</w:t>
      </w:r>
      <w:r>
        <w:rPr>
          <w:color w:val="000000"/>
          <w:sz w:val="28"/>
          <w:szCs w:val="28"/>
        </w:rPr>
        <w:t>至</w:t>
      </w:r>
      <w:r>
        <w:rPr>
          <w:rFonts w:hint="eastAsia"/>
          <w:color w:val="000000"/>
          <w:sz w:val="28"/>
          <w:szCs w:val="28"/>
        </w:rPr>
        <w:t>发包方</w:t>
      </w:r>
      <w:r>
        <w:rPr>
          <w:color w:val="000000"/>
          <w:sz w:val="28"/>
          <w:szCs w:val="28"/>
        </w:rPr>
        <w:t>账户</w:t>
      </w:r>
      <w:r>
        <w:rPr>
          <w:rFonts w:hint="eastAsia"/>
          <w:color w:val="000000"/>
          <w:sz w:val="28"/>
          <w:szCs w:val="28"/>
        </w:rPr>
        <w:t>后凭承包方提供的发票支付至合同价100 %；</w:t>
      </w:r>
      <w:r>
        <w:rPr>
          <w:color w:val="000000"/>
          <w:sz w:val="28"/>
          <w:szCs w:val="28"/>
        </w:rPr>
        <w:t xml:space="preserve"> </w:t>
      </w:r>
      <w:r>
        <w:rPr>
          <w:rFonts w:hint="eastAsia"/>
          <w:color w:val="000000"/>
          <w:sz w:val="28"/>
          <w:szCs w:val="28"/>
        </w:rPr>
        <w:t>后期</w:t>
      </w:r>
      <w:r>
        <w:rPr>
          <w:color w:val="000000"/>
          <w:sz w:val="28"/>
          <w:szCs w:val="28"/>
        </w:rPr>
        <w:t>服务费</w:t>
      </w:r>
      <w:r>
        <w:rPr>
          <w:rFonts w:hint="eastAsia"/>
          <w:color w:val="000000"/>
          <w:sz w:val="28"/>
          <w:szCs w:val="28"/>
        </w:rPr>
        <w:t>10000.00元一年后服务期满无息返还。</w:t>
      </w:r>
    </w:p>
    <w:p>
      <w:pPr>
        <w:pStyle w:val="46"/>
        <w:spacing w:line="600" w:lineRule="exact"/>
        <w:rPr>
          <w:b/>
          <w:kern w:val="2"/>
          <w:sz w:val="28"/>
          <w:szCs w:val="28"/>
        </w:rPr>
      </w:pPr>
      <w:r>
        <w:rPr>
          <w:rFonts w:hint="eastAsia"/>
          <w:b/>
          <w:kern w:val="2"/>
          <w:sz w:val="28"/>
          <w:szCs w:val="28"/>
        </w:rPr>
        <w:t>四、安全文明施工：</w:t>
      </w:r>
    </w:p>
    <w:p>
      <w:pPr>
        <w:pStyle w:val="46"/>
        <w:spacing w:line="600" w:lineRule="exact"/>
        <w:ind w:firstLine="700" w:firstLineChars="250"/>
        <w:rPr>
          <w:kern w:val="2"/>
          <w:sz w:val="28"/>
          <w:szCs w:val="28"/>
        </w:rPr>
      </w:pPr>
      <w:r>
        <w:rPr>
          <w:rFonts w:hint="eastAsia"/>
          <w:kern w:val="2"/>
          <w:sz w:val="28"/>
          <w:szCs w:val="28"/>
        </w:rPr>
        <w:t>本项目大部分作业面为高空作业，中标人应制定安全作业细则并在现场检测时严格执行，否则承担由此带来的一切安全后果：</w:t>
      </w:r>
    </w:p>
    <w:p>
      <w:pPr>
        <w:pStyle w:val="32"/>
        <w:numPr>
          <w:ilvl w:val="0"/>
          <w:numId w:val="0"/>
        </w:numPr>
        <w:spacing w:line="600" w:lineRule="exact"/>
        <w:ind w:firstLine="560" w:firstLineChars="200"/>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检测人员进入现场要戴安全帽、高空操作时必须系好安全带且高空作业人员须持证上岗；</w:t>
      </w:r>
    </w:p>
    <w:p>
      <w:pPr>
        <w:pStyle w:val="32"/>
        <w:numPr>
          <w:ilvl w:val="0"/>
          <w:numId w:val="0"/>
        </w:numPr>
        <w:spacing w:line="600" w:lineRule="exact"/>
        <w:ind w:firstLine="560" w:firstLineChars="200"/>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现场接电时，要由持证专业人员操作；</w:t>
      </w:r>
    </w:p>
    <w:p>
      <w:pPr>
        <w:pStyle w:val="32"/>
        <w:numPr>
          <w:ilvl w:val="0"/>
          <w:numId w:val="0"/>
        </w:numPr>
        <w:spacing w:line="600" w:lineRule="exact"/>
        <w:ind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检测产生的混凝土碎屑等垃圾应打包归堆并清理出校园至芜湖市市容局指定地点；</w:t>
      </w:r>
    </w:p>
    <w:p>
      <w:pPr>
        <w:spacing w:line="360" w:lineRule="auto"/>
        <w:rPr>
          <w:rFonts w:ascii="宋体" w:hAnsi="宋体" w:cs="宋体"/>
          <w:b/>
          <w:sz w:val="28"/>
          <w:szCs w:val="28"/>
        </w:rPr>
      </w:pPr>
      <w:r>
        <w:rPr>
          <w:rFonts w:hint="eastAsia" w:ascii="宋体" w:hAnsi="宋体" w:cs="宋体"/>
          <w:b/>
          <w:sz w:val="28"/>
          <w:szCs w:val="28"/>
        </w:rPr>
        <w:t>五、现场管理与甲乙双方责任</w:t>
      </w:r>
    </w:p>
    <w:p>
      <w:pPr>
        <w:spacing w:line="360" w:lineRule="auto"/>
        <w:ind w:firstLine="560" w:firstLineChars="200"/>
        <w:rPr>
          <w:rFonts w:ascii="宋体" w:hAnsi="宋体" w:cs="宋体"/>
          <w:sz w:val="28"/>
          <w:szCs w:val="28"/>
        </w:rPr>
      </w:pPr>
      <w:r>
        <w:rPr>
          <w:rFonts w:hint="eastAsia" w:ascii="宋体" w:hAnsi="宋体" w:eastAsia="宋体" w:cs="Times New Roman"/>
          <w:kern w:val="0"/>
          <w:sz w:val="28"/>
          <w:szCs w:val="28"/>
          <w:lang w:val="en-US" w:eastAsia="zh-CN" w:bidi="ar-SA"/>
        </w:rPr>
        <w:t xml:space="preserve">1. </w:t>
      </w:r>
      <w:r>
        <w:rPr>
          <w:rFonts w:hint="eastAsia" w:ascii="宋体" w:hAnsi="宋体" w:cs="宋体"/>
          <w:sz w:val="28"/>
          <w:szCs w:val="28"/>
        </w:rPr>
        <w:t>甲方指定后勤管理处</w:t>
      </w:r>
      <w:r>
        <w:rPr>
          <w:rFonts w:hint="eastAsia" w:ascii="宋体" w:hAnsi="宋体" w:cs="宋体"/>
          <w:sz w:val="28"/>
          <w:szCs w:val="28"/>
          <w:u w:val="single"/>
        </w:rPr>
        <w:t xml:space="preserve">    </w:t>
      </w:r>
      <w:r>
        <w:rPr>
          <w:rFonts w:hint="eastAsia" w:ascii="宋体" w:hAnsi="宋体" w:cs="宋体"/>
          <w:sz w:val="28"/>
          <w:szCs w:val="28"/>
        </w:rPr>
        <w:t>（联系方式：</w:t>
      </w:r>
      <w:r>
        <w:rPr>
          <w:rFonts w:hint="eastAsia" w:ascii="宋体" w:hAnsi="宋体" w:cs="宋体"/>
          <w:sz w:val="28"/>
          <w:szCs w:val="28"/>
          <w:u w:val="single"/>
        </w:rPr>
        <w:t xml:space="preserve">    </w:t>
      </w:r>
      <w:r>
        <w:rPr>
          <w:rFonts w:hint="eastAsia" w:ascii="宋体" w:hAnsi="宋体" w:cs="宋体"/>
          <w:sz w:val="28"/>
          <w:szCs w:val="28"/>
        </w:rPr>
        <w:t>）为该项目的现场负责人，负责项目协调管理、价款支付等相关事宜。</w:t>
      </w:r>
    </w:p>
    <w:p>
      <w:pPr>
        <w:spacing w:line="520" w:lineRule="exact"/>
        <w:ind w:firstLine="546" w:firstLineChars="195"/>
        <w:rPr>
          <w:rFonts w:hint="eastAsia"/>
          <w:sz w:val="28"/>
        </w:rPr>
      </w:pPr>
      <w:r>
        <w:rPr>
          <w:rFonts w:hint="eastAsia"/>
          <w:sz w:val="28"/>
        </w:rPr>
        <w:t xml:space="preserve"> 2.</w:t>
      </w:r>
      <w:r>
        <w:rPr>
          <w:rFonts w:hint="eastAsia" w:ascii="宋体" w:hAnsi="宋体" w:cs="宋体"/>
          <w:sz w:val="28"/>
          <w:szCs w:val="28"/>
        </w:rPr>
        <w:t xml:space="preserve"> 乙方指定 </w:t>
      </w:r>
      <w:r>
        <w:rPr>
          <w:rFonts w:hint="eastAsia" w:ascii="宋体" w:hAnsi="宋体" w:cs="宋体"/>
          <w:sz w:val="28"/>
          <w:szCs w:val="28"/>
          <w:u w:val="single"/>
        </w:rPr>
        <w:t xml:space="preserve">       </w:t>
      </w:r>
      <w:r>
        <w:rPr>
          <w:rFonts w:hint="eastAsia" w:ascii="宋体" w:hAnsi="宋体" w:cs="宋体"/>
          <w:sz w:val="28"/>
          <w:szCs w:val="28"/>
        </w:rPr>
        <w:t>（联系方式：</w:t>
      </w:r>
      <w:r>
        <w:rPr>
          <w:rFonts w:hint="eastAsia" w:ascii="宋体" w:hAnsi="宋体" w:cs="宋体"/>
          <w:sz w:val="28"/>
          <w:szCs w:val="28"/>
          <w:u w:val="single"/>
        </w:rPr>
        <w:t xml:space="preserve">    </w:t>
      </w:r>
      <w:r>
        <w:rPr>
          <w:rFonts w:hint="eastAsia" w:ascii="宋体" w:hAnsi="宋体" w:cs="宋体"/>
          <w:sz w:val="28"/>
          <w:szCs w:val="28"/>
        </w:rPr>
        <w:t>）为该项目的现场负责人，负责</w:t>
      </w:r>
      <w:r>
        <w:rPr>
          <w:rFonts w:hint="eastAsia"/>
          <w:sz w:val="28"/>
        </w:rPr>
        <w:t>（1）按照国家有关标准规范进行检测，保证检测质量，并对其出具的检测报告负责。（2）根据甲方委托检测内容组织实施现场检测，并为甲方提供优质的服务和技术支持。（3）</w:t>
      </w:r>
      <w:r>
        <w:rPr>
          <w:rFonts w:hint="eastAsia" w:ascii="宋体" w:hAnsi="宋体" w:cs="宋体"/>
          <w:sz w:val="28"/>
          <w:szCs w:val="28"/>
        </w:rPr>
        <w:t>从甲方书面通知进场检测时间开始计算</w:t>
      </w:r>
      <w:r>
        <w:rPr>
          <w:rFonts w:hint="eastAsia"/>
          <w:sz w:val="28"/>
          <w:u w:val="single"/>
        </w:rPr>
        <w:t xml:space="preserve"> 60日历</w:t>
      </w:r>
      <w:r>
        <w:rPr>
          <w:rFonts w:hint="eastAsia"/>
          <w:sz w:val="28"/>
        </w:rPr>
        <w:t>天内提供甲方检测报告一式</w:t>
      </w:r>
      <w:r>
        <w:rPr>
          <w:sz w:val="28"/>
          <w:u w:val="single"/>
        </w:rPr>
        <w:t xml:space="preserve"> </w:t>
      </w:r>
      <w:r>
        <w:rPr>
          <w:rFonts w:hint="eastAsia"/>
          <w:sz w:val="28"/>
          <w:u w:val="single"/>
        </w:rPr>
        <w:t xml:space="preserve"> 捌 </w:t>
      </w:r>
      <w:r>
        <w:rPr>
          <w:sz w:val="28"/>
          <w:u w:val="single"/>
        </w:rPr>
        <w:t xml:space="preserve"> </w:t>
      </w:r>
      <w:r>
        <w:rPr>
          <w:rFonts w:hint="eastAsia"/>
          <w:sz w:val="28"/>
        </w:rPr>
        <w:t>份。（4）对检测现场检测人员及破损性试验按原样恢复的施工人员人身安全负责。</w:t>
      </w:r>
    </w:p>
    <w:p>
      <w:pPr>
        <w:spacing w:line="360" w:lineRule="auto"/>
        <w:rPr>
          <w:rFonts w:ascii="宋体" w:hAnsi="宋体" w:cs="宋体"/>
          <w:b/>
          <w:sz w:val="28"/>
          <w:szCs w:val="28"/>
        </w:rPr>
      </w:pPr>
      <w:r>
        <w:rPr>
          <w:rFonts w:hint="eastAsia" w:ascii="宋体" w:hAnsi="宋体" w:cs="宋体"/>
          <w:b/>
          <w:sz w:val="28"/>
          <w:szCs w:val="28"/>
        </w:rPr>
        <w:t>六、其他</w:t>
      </w:r>
    </w:p>
    <w:p>
      <w:pPr>
        <w:spacing w:line="360" w:lineRule="auto"/>
        <w:ind w:firstLine="560" w:firstLineChars="200"/>
        <w:rPr>
          <w:rFonts w:ascii="宋体" w:hAnsi="宋体" w:cs="宋体"/>
          <w:sz w:val="28"/>
          <w:szCs w:val="28"/>
        </w:rPr>
      </w:pPr>
      <w:r>
        <w:rPr>
          <w:rFonts w:hint="eastAsia" w:ascii="宋体" w:hAnsi="宋体" w:cs="宋体"/>
          <w:sz w:val="28"/>
          <w:szCs w:val="28"/>
        </w:rPr>
        <w:t>1.本合同未尽事宜由双方协商解决，如协商不成，双方同意将本合同引起的争议提交工程所在地人民法院诉讼解决。</w:t>
      </w:r>
    </w:p>
    <w:p>
      <w:pPr>
        <w:spacing w:line="360" w:lineRule="auto"/>
        <w:ind w:firstLine="560" w:firstLineChars="200"/>
        <w:rPr>
          <w:rFonts w:ascii="宋体" w:hAnsi="宋体" w:cs="宋体"/>
          <w:sz w:val="28"/>
          <w:szCs w:val="28"/>
        </w:rPr>
      </w:pPr>
      <w:r>
        <w:rPr>
          <w:rFonts w:hint="eastAsia" w:ascii="宋体" w:hAnsi="宋体" w:cs="宋体"/>
          <w:sz w:val="28"/>
          <w:szCs w:val="28"/>
        </w:rPr>
        <w:t>2.本合同未尽事宜，遵照合同、建筑等法律法规有关条文执行。</w:t>
      </w:r>
    </w:p>
    <w:p>
      <w:pPr>
        <w:spacing w:line="360" w:lineRule="auto"/>
        <w:ind w:firstLine="560" w:firstLineChars="200"/>
        <w:rPr>
          <w:rFonts w:ascii="宋体" w:hAnsi="宋体" w:cs="宋体"/>
          <w:sz w:val="28"/>
          <w:szCs w:val="28"/>
        </w:rPr>
      </w:pPr>
      <w:r>
        <w:rPr>
          <w:rFonts w:hint="eastAsia" w:ascii="宋体" w:hAnsi="宋体" w:cs="宋体"/>
          <w:sz w:val="28"/>
          <w:szCs w:val="28"/>
        </w:rPr>
        <w:t>3.本协议壹式</w:t>
      </w:r>
      <w:r>
        <w:rPr>
          <w:rFonts w:hint="eastAsia" w:ascii="宋体" w:hAnsi="宋体" w:cs="宋体"/>
          <w:sz w:val="28"/>
          <w:szCs w:val="28"/>
          <w:u w:val="single"/>
        </w:rPr>
        <w:t xml:space="preserve">    </w:t>
      </w:r>
      <w:r>
        <w:rPr>
          <w:rFonts w:hint="eastAsia" w:ascii="宋体" w:hAnsi="宋体" w:cs="宋体"/>
          <w:sz w:val="28"/>
          <w:szCs w:val="28"/>
        </w:rPr>
        <w:t>份，均具有同等法律效力，甲方执</w:t>
      </w:r>
      <w:r>
        <w:rPr>
          <w:rFonts w:hint="eastAsia" w:ascii="宋体" w:hAnsi="宋体" w:cs="宋体"/>
          <w:sz w:val="28"/>
          <w:szCs w:val="28"/>
          <w:u w:val="single"/>
        </w:rPr>
        <w:t xml:space="preserve">    </w:t>
      </w:r>
      <w:r>
        <w:rPr>
          <w:rFonts w:hint="eastAsia" w:ascii="宋体" w:hAnsi="宋体" w:cs="宋体"/>
          <w:sz w:val="28"/>
          <w:szCs w:val="28"/>
        </w:rPr>
        <w:t>份，乙方执</w:t>
      </w:r>
      <w:r>
        <w:rPr>
          <w:rFonts w:hint="eastAsia" w:ascii="宋体" w:hAnsi="宋体" w:cs="宋体"/>
          <w:sz w:val="28"/>
          <w:szCs w:val="28"/>
          <w:u w:val="single"/>
        </w:rPr>
        <w:t xml:space="preserve">    </w:t>
      </w:r>
      <w:r>
        <w:rPr>
          <w:rFonts w:hint="eastAsia" w:ascii="宋体" w:hAnsi="宋体" w:cs="宋体"/>
          <w:sz w:val="28"/>
          <w:szCs w:val="28"/>
        </w:rPr>
        <w:t>份，甲、乙双方法定代表人或其委托代理人签字盖章后生效。</w:t>
      </w:r>
    </w:p>
    <w:p>
      <w:pPr>
        <w:spacing w:line="360" w:lineRule="auto"/>
        <w:ind w:firstLine="551" w:firstLineChars="196"/>
        <w:rPr>
          <w:rFonts w:ascii="宋体" w:hAnsi="宋体" w:cs="宋体"/>
          <w:b/>
          <w:sz w:val="28"/>
          <w:szCs w:val="28"/>
        </w:rPr>
      </w:pPr>
      <w:r>
        <w:rPr>
          <w:rFonts w:hint="eastAsia" w:ascii="宋体" w:hAnsi="宋体" w:cs="宋体"/>
          <w:b/>
          <w:sz w:val="28"/>
          <w:szCs w:val="28"/>
        </w:rPr>
        <w:t>十、合同订立</w:t>
      </w:r>
    </w:p>
    <w:p>
      <w:pPr>
        <w:spacing w:line="360" w:lineRule="auto"/>
        <w:ind w:firstLine="560" w:firstLineChars="200"/>
        <w:rPr>
          <w:rFonts w:ascii="宋体" w:hAnsi="宋体" w:cs="宋体"/>
          <w:sz w:val="28"/>
          <w:szCs w:val="28"/>
        </w:rPr>
      </w:pPr>
      <w:r>
        <w:rPr>
          <w:rFonts w:hint="eastAsia" w:ascii="宋体" w:hAnsi="宋体" w:cs="宋体"/>
          <w:sz w:val="28"/>
          <w:szCs w:val="28"/>
        </w:rPr>
        <w:t>1.合同订立时间：</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360" w:lineRule="auto"/>
        <w:ind w:firstLine="560" w:firstLineChars="200"/>
        <w:rPr>
          <w:rFonts w:ascii="宋体" w:hAnsi="宋体" w:cs="宋体"/>
          <w:sz w:val="28"/>
          <w:szCs w:val="28"/>
        </w:rPr>
      </w:pPr>
      <w:r>
        <w:rPr>
          <w:rFonts w:hint="eastAsia" w:ascii="宋体" w:hAnsi="宋体" w:cs="宋体"/>
          <w:sz w:val="28"/>
          <w:szCs w:val="28"/>
        </w:rPr>
        <w:t>2.合同订立地点：皖南医学院滨江校区</w:t>
      </w:r>
    </w:p>
    <w:p>
      <w:pPr>
        <w:spacing w:line="360" w:lineRule="auto"/>
        <w:ind w:firstLine="560" w:firstLineChars="200"/>
        <w:rPr>
          <w:rFonts w:ascii="宋体" w:hAnsi="宋体" w:cs="宋体"/>
          <w:sz w:val="28"/>
          <w:szCs w:val="28"/>
        </w:rPr>
      </w:pPr>
    </w:p>
    <w:tbl>
      <w:tblPr>
        <w:tblStyle w:val="27"/>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50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甲方：</w:t>
            </w:r>
          </w:p>
          <w:p>
            <w:pPr>
              <w:spacing w:line="360" w:lineRule="auto"/>
              <w:rPr>
                <w:rFonts w:ascii="宋体" w:hAnsi="宋体" w:cs="宋体"/>
                <w:spacing w:val="-6"/>
                <w:sz w:val="28"/>
                <w:szCs w:val="28"/>
              </w:rPr>
            </w:pPr>
            <w:r>
              <w:rPr>
                <w:rFonts w:hint="eastAsia" w:ascii="宋体" w:hAnsi="宋体" w:cs="宋体"/>
                <w:spacing w:val="-6"/>
                <w:sz w:val="28"/>
                <w:szCs w:val="28"/>
              </w:rPr>
              <w:t>（公章）</w:t>
            </w:r>
          </w:p>
          <w:p>
            <w:pPr>
              <w:spacing w:line="360" w:lineRule="auto"/>
              <w:rPr>
                <w:rFonts w:ascii="宋体" w:hAnsi="宋体" w:cs="宋体"/>
                <w:spacing w:val="-6"/>
                <w:sz w:val="28"/>
                <w:szCs w:val="28"/>
              </w:rPr>
            </w:pPr>
          </w:p>
          <w:p>
            <w:pPr>
              <w:spacing w:line="360" w:lineRule="auto"/>
              <w:rPr>
                <w:rFonts w:ascii="宋体" w:hAnsi="宋体" w:cs="宋体"/>
                <w:spacing w:val="-6"/>
                <w:sz w:val="28"/>
                <w:szCs w:val="28"/>
              </w:rPr>
            </w:pPr>
          </w:p>
        </w:tc>
        <w:tc>
          <w:tcPr>
            <w:tcW w:w="468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乙方：</w:t>
            </w:r>
          </w:p>
          <w:p>
            <w:pPr>
              <w:spacing w:line="360" w:lineRule="auto"/>
              <w:rPr>
                <w:rFonts w:ascii="宋体" w:hAnsi="宋体" w:cs="宋体"/>
                <w:spacing w:val="-6"/>
                <w:sz w:val="28"/>
                <w:szCs w:val="28"/>
              </w:rPr>
            </w:pPr>
            <w:r>
              <w:rPr>
                <w:rFonts w:hint="eastAsia" w:ascii="宋体" w:hAnsi="宋体" w:cs="宋体"/>
                <w:spacing w:val="-6"/>
                <w:sz w:val="28"/>
                <w:szCs w:val="28"/>
              </w:rPr>
              <w:t>（公章）</w:t>
            </w:r>
          </w:p>
          <w:p>
            <w:pPr>
              <w:spacing w:line="360" w:lineRule="auto"/>
              <w:rPr>
                <w:rFonts w:ascii="宋体" w:hAnsi="宋体" w:cs="宋体"/>
                <w:spacing w:val="-6"/>
                <w:sz w:val="28"/>
                <w:szCs w:val="28"/>
              </w:rPr>
            </w:pPr>
          </w:p>
          <w:p>
            <w:pPr>
              <w:spacing w:line="360" w:lineRule="auto"/>
              <w:rPr>
                <w:rFonts w:ascii="宋体" w:hAnsi="宋体" w:cs="宋体"/>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50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法定代表人或其委托代理人：</w:t>
            </w:r>
          </w:p>
          <w:p>
            <w:pPr>
              <w:spacing w:line="360" w:lineRule="auto"/>
              <w:rPr>
                <w:rFonts w:ascii="宋体" w:hAnsi="宋体" w:cs="宋体"/>
                <w:spacing w:val="-6"/>
                <w:sz w:val="28"/>
                <w:szCs w:val="28"/>
              </w:rPr>
            </w:pPr>
            <w:r>
              <w:rPr>
                <w:rFonts w:hint="eastAsia" w:ascii="宋体" w:hAnsi="宋体" w:cs="宋体"/>
                <w:spacing w:val="-6"/>
                <w:sz w:val="28"/>
                <w:szCs w:val="28"/>
              </w:rPr>
              <w:t>（签字）</w:t>
            </w:r>
          </w:p>
        </w:tc>
        <w:tc>
          <w:tcPr>
            <w:tcW w:w="468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法定代表人或其委托代理人：</w:t>
            </w:r>
          </w:p>
          <w:p>
            <w:pPr>
              <w:spacing w:line="360" w:lineRule="auto"/>
              <w:rPr>
                <w:rFonts w:ascii="宋体" w:hAnsi="宋体" w:cs="宋体"/>
                <w:spacing w:val="-6"/>
                <w:sz w:val="28"/>
                <w:szCs w:val="28"/>
              </w:rPr>
            </w:pPr>
            <w:r>
              <w:rPr>
                <w:rFonts w:hint="eastAsia" w:ascii="宋体" w:hAnsi="宋体" w:cs="宋体"/>
                <w:spacing w:val="-6"/>
                <w:sz w:val="28"/>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50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地址：芜湖市弋江区文昌西路22号</w:t>
            </w:r>
          </w:p>
        </w:tc>
        <w:tc>
          <w:tcPr>
            <w:tcW w:w="468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50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邮编：241002</w:t>
            </w:r>
          </w:p>
        </w:tc>
        <w:tc>
          <w:tcPr>
            <w:tcW w:w="468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50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电话：0553-3932598</w:t>
            </w:r>
          </w:p>
        </w:tc>
        <w:tc>
          <w:tcPr>
            <w:tcW w:w="468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电话：</w:t>
            </w:r>
            <w:r>
              <w:rPr>
                <w:rFonts w:hint="eastAsia" w:ascii="宋体" w:hAnsi="宋体" w:cs="宋体"/>
                <w:spacing w:val="-6"/>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50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传真：</w:t>
            </w:r>
          </w:p>
        </w:tc>
        <w:tc>
          <w:tcPr>
            <w:tcW w:w="468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50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开户银行：中国建设银行芜湖市分行中山路支行</w:t>
            </w:r>
          </w:p>
        </w:tc>
        <w:tc>
          <w:tcPr>
            <w:tcW w:w="468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 xml:space="preserve">开户银行： </w:t>
            </w:r>
          </w:p>
        </w:tc>
      </w:tr>
    </w:tbl>
    <w:p>
      <w:pPr>
        <w:rPr>
          <w:rFonts w:hint="eastAsia"/>
        </w:rPr>
      </w:pPr>
    </w:p>
    <w:p>
      <w:pPr>
        <w:pStyle w:val="5"/>
        <w:numPr>
          <w:ilvl w:val="0"/>
          <w:numId w:val="2"/>
        </w:numPr>
        <w:snapToGrid w:val="0"/>
        <w:spacing w:before="0" w:after="0"/>
        <w:ind w:left="947" w:leftChars="0" w:hanging="947" w:firstLineChars="0"/>
        <w:jc w:val="center"/>
        <w:rPr>
          <w:rFonts w:hint="eastAsia" w:ascii="华文中宋" w:hAnsi="华文中宋" w:eastAsia="华文中宋"/>
          <w:bCs w:val="0"/>
          <w:color w:val="auto"/>
        </w:rPr>
      </w:pPr>
      <w:bookmarkStart w:id="108" w:name="_Toc49763003"/>
      <w:r>
        <w:rPr>
          <w:rFonts w:hint="eastAsia" w:ascii="华文中宋" w:hAnsi="华文中宋" w:eastAsia="华文中宋"/>
          <w:bCs w:val="0"/>
          <w:color w:val="auto"/>
        </w:rPr>
        <w:br w:type="page"/>
      </w:r>
      <w:r>
        <w:rPr>
          <w:rFonts w:hint="eastAsia" w:ascii="华文中宋" w:hAnsi="华文中宋" w:eastAsia="华文中宋"/>
          <w:bCs w:val="0"/>
          <w:color w:val="auto"/>
        </w:rPr>
        <w:t xml:space="preserve"> 项目需求</w:t>
      </w:r>
      <w:bookmarkEnd w:id="108"/>
    </w:p>
    <w:p>
      <w:pPr>
        <w:spacing w:line="600" w:lineRule="exact"/>
        <w:ind w:firstLine="840" w:firstLineChars="300"/>
        <w:rPr>
          <w:sz w:val="28"/>
          <w:szCs w:val="28"/>
        </w:rPr>
      </w:pPr>
      <w:r>
        <w:rPr>
          <w:rFonts w:hint="eastAsia"/>
          <w:sz w:val="28"/>
          <w:szCs w:val="28"/>
        </w:rPr>
        <w:t>目前，皖南医学院部分楼宇的钢网架、石材幕墙及钢结构飘蓬构工程已经使用约15年，为了解受检房屋网架、钢构及石材幕墙目前的安全及质量状况，对网架、钢构及幕墙进行安全性排查，为网架、钢构及幕墙的正常使用和维护提供技术依据。</w:t>
      </w:r>
    </w:p>
    <w:p>
      <w:pPr>
        <w:pStyle w:val="32"/>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600" w:lineRule="exact"/>
        <w:ind w:firstLineChars="0"/>
        <w:textAlignment w:val="auto"/>
        <w:rPr>
          <w:sz w:val="28"/>
          <w:szCs w:val="28"/>
        </w:rPr>
      </w:pPr>
      <w:r>
        <w:rPr>
          <w:rFonts w:hint="eastAsia"/>
          <w:b/>
          <w:sz w:val="28"/>
          <w:szCs w:val="28"/>
        </w:rPr>
        <w:t>工程地点</w:t>
      </w:r>
      <w:r>
        <w:rPr>
          <w:rFonts w:hint="eastAsia"/>
          <w:sz w:val="28"/>
          <w:szCs w:val="28"/>
        </w:rPr>
        <w:t>：皖南医学院滨江校区和赭麓校区</w:t>
      </w:r>
    </w:p>
    <w:p>
      <w:pPr>
        <w:pStyle w:val="32"/>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600" w:lineRule="exact"/>
        <w:ind w:firstLineChars="0"/>
        <w:textAlignment w:val="auto"/>
        <w:rPr>
          <w:rFonts w:hint="eastAsia" w:eastAsia="宋体" w:cs="Times New Roman"/>
          <w:b/>
          <w:sz w:val="28"/>
          <w:szCs w:val="28"/>
        </w:rPr>
      </w:pPr>
      <w:r>
        <w:rPr>
          <w:rFonts w:hint="eastAsia" w:eastAsia="宋体" w:cs="Times New Roman"/>
          <w:b/>
          <w:sz w:val="28"/>
          <w:szCs w:val="28"/>
        </w:rPr>
        <w:t>受检房屋：</w:t>
      </w:r>
    </w:p>
    <w:p>
      <w:pPr>
        <w:pStyle w:val="32"/>
        <w:spacing w:line="600" w:lineRule="exact"/>
        <w:ind w:left="0" w:leftChars="0" w:firstLine="840" w:firstLineChars="300"/>
        <w:rPr>
          <w:rFonts w:hint="eastAsia"/>
          <w:sz w:val="28"/>
          <w:szCs w:val="28"/>
        </w:rPr>
      </w:pPr>
      <w:r>
        <w:rPr>
          <w:rFonts w:hint="eastAsia"/>
          <w:sz w:val="28"/>
          <w:szCs w:val="28"/>
        </w:rPr>
        <w:t>风雨操场、逸夫科技楼共两幢楼的网架、钢结构的安全检测鉴定；滨江校区北大门（含值班室）、南大门（含值班室）、东大门（含值班室）及赭麓校区主大门（含值班室）等四座大门楼（含值班室）石材幕墙及网架安全检测鉴定。</w:t>
      </w:r>
    </w:p>
    <w:p>
      <w:pPr>
        <w:pStyle w:val="32"/>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600" w:lineRule="exact"/>
        <w:ind w:firstLineChars="0"/>
        <w:textAlignment w:val="auto"/>
        <w:rPr>
          <w:rFonts w:hint="eastAsia" w:eastAsia="宋体" w:cs="Times New Roman"/>
          <w:b/>
          <w:sz w:val="28"/>
          <w:szCs w:val="28"/>
        </w:rPr>
      </w:pPr>
      <w:r>
        <w:rPr>
          <w:rFonts w:hint="eastAsia" w:eastAsia="宋体" w:cs="Times New Roman"/>
          <w:b/>
          <w:sz w:val="28"/>
          <w:szCs w:val="28"/>
        </w:rPr>
        <w:t>工期：</w:t>
      </w:r>
    </w:p>
    <w:p>
      <w:pPr>
        <w:pStyle w:val="16"/>
        <w:spacing w:line="600" w:lineRule="exact"/>
        <w:ind w:firstLine="560" w:firstLineChars="200"/>
        <w:rPr>
          <w:rFonts w:ascii="Calibri" w:hAnsi="Calibri" w:eastAsia="宋体" w:cs="Times New Roman"/>
          <w:color w:val="000000"/>
          <w:sz w:val="28"/>
          <w:szCs w:val="28"/>
        </w:rPr>
      </w:pPr>
      <w:r>
        <w:rPr>
          <w:rFonts w:hint="eastAsia" w:ascii="Calibri" w:hAnsi="Calibri" w:eastAsia="宋体" w:cs="Times New Roman"/>
          <w:sz w:val="28"/>
          <w:szCs w:val="28"/>
        </w:rPr>
        <w:t>中标人需在合同签订后</w:t>
      </w:r>
      <w:r>
        <w:rPr>
          <w:rFonts w:hint="eastAsia" w:ascii="Calibri" w:hAnsi="Calibri" w:eastAsia="宋体" w:cs="Times New Roman"/>
          <w:color w:val="000000"/>
          <w:sz w:val="28"/>
          <w:szCs w:val="28"/>
        </w:rPr>
        <w:t>60</w:t>
      </w:r>
      <w:r>
        <w:rPr>
          <w:rFonts w:hint="eastAsia" w:ascii="Calibri" w:hAnsi="Calibri" w:eastAsia="宋体" w:cs="Times New Roman"/>
          <w:sz w:val="28"/>
          <w:szCs w:val="28"/>
        </w:rPr>
        <w:t>个日历天内完成检测鉴定工作并提交正式报告，</w:t>
      </w:r>
      <w:r>
        <w:rPr>
          <w:rFonts w:hint="eastAsia" w:ascii="Calibri" w:hAnsi="Calibri" w:eastAsia="宋体" w:cs="Times New Roman"/>
          <w:color w:val="000000"/>
          <w:sz w:val="28"/>
          <w:szCs w:val="28"/>
        </w:rPr>
        <w:t>同时所有局部破损性试验部位需按原样恢复，如后期发现疑问，中标单位应及时安排人员现场解释或复检；</w:t>
      </w:r>
    </w:p>
    <w:p>
      <w:pPr>
        <w:pStyle w:val="32"/>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600" w:lineRule="exact"/>
        <w:ind w:firstLineChars="0"/>
        <w:textAlignment w:val="auto"/>
        <w:rPr>
          <w:rFonts w:hint="eastAsia" w:eastAsia="宋体" w:cs="Times New Roman"/>
          <w:b/>
          <w:sz w:val="28"/>
          <w:szCs w:val="28"/>
        </w:rPr>
      </w:pPr>
      <w:r>
        <w:rPr>
          <w:rFonts w:hint="eastAsia" w:eastAsia="宋体" w:cs="Times New Roman"/>
          <w:b/>
          <w:sz w:val="28"/>
          <w:szCs w:val="28"/>
        </w:rPr>
        <w:t>报价：</w:t>
      </w:r>
    </w:p>
    <w:p>
      <w:pPr>
        <w:pStyle w:val="46"/>
        <w:spacing w:line="600" w:lineRule="exact"/>
        <w:rPr>
          <w:rFonts w:ascii="Calibri" w:hAnsi="Calibri" w:eastAsia="宋体" w:cs="Times New Roman"/>
          <w:bCs/>
          <w:color w:val="000000"/>
          <w:sz w:val="28"/>
          <w:szCs w:val="28"/>
        </w:rPr>
      </w:pPr>
      <w:r>
        <w:rPr>
          <w:rFonts w:hint="eastAsia" w:ascii="Calibri" w:hAnsi="Calibri" w:eastAsia="宋体" w:cs="Times New Roman"/>
          <w:bCs/>
          <w:color w:val="000000"/>
          <w:sz w:val="28"/>
          <w:szCs w:val="28"/>
        </w:rPr>
        <w:t xml:space="preserve">    1）、本项目属固定总价合同，除招标人认可并批准的变更外；</w:t>
      </w:r>
    </w:p>
    <w:p>
      <w:pPr>
        <w:pStyle w:val="46"/>
        <w:spacing w:line="600" w:lineRule="exact"/>
        <w:ind w:firstLine="560" w:firstLineChars="200"/>
        <w:rPr>
          <w:rFonts w:ascii="Calibri" w:hAnsi="Calibri" w:eastAsia="宋体" w:cs="Times New Roman"/>
          <w:color w:val="000000"/>
          <w:kern w:val="2"/>
          <w:sz w:val="28"/>
          <w:szCs w:val="28"/>
        </w:rPr>
      </w:pPr>
      <w:r>
        <w:rPr>
          <w:rFonts w:hint="eastAsia" w:ascii="Calibri" w:hAnsi="Calibri" w:eastAsia="宋体" w:cs="Times New Roman"/>
          <w:color w:val="000000"/>
          <w:kern w:val="2"/>
          <w:sz w:val="28"/>
          <w:szCs w:val="28"/>
        </w:rPr>
        <w:t>2）、受检房屋部分钢构及幕墙图纸不全，因此，投标人需勘察现场，合理报价；</w:t>
      </w:r>
    </w:p>
    <w:p>
      <w:pPr>
        <w:spacing w:line="600" w:lineRule="exact"/>
        <w:ind w:firstLine="560" w:firstLineChars="200"/>
        <w:rPr>
          <w:rFonts w:ascii="宋体" w:hAnsi="宋体" w:eastAsia="宋体" w:cs="宋体"/>
          <w:color w:val="000000"/>
          <w:sz w:val="28"/>
          <w:szCs w:val="28"/>
        </w:rPr>
      </w:pPr>
      <w:r>
        <w:rPr>
          <w:rFonts w:hint="eastAsia"/>
          <w:color w:val="000000"/>
          <w:sz w:val="28"/>
          <w:szCs w:val="28"/>
        </w:rPr>
        <w:t>3）、中标单位自行考虑住宿等临时设施，包含在报价中；</w:t>
      </w:r>
    </w:p>
    <w:p>
      <w:pPr>
        <w:pStyle w:val="46"/>
        <w:spacing w:line="600" w:lineRule="exact"/>
        <w:ind w:firstLine="560" w:firstLineChars="200"/>
        <w:rPr>
          <w:rFonts w:ascii="Calibri" w:hAnsi="Calibri" w:eastAsia="宋体" w:cs="Times New Roman"/>
          <w:color w:val="000000"/>
          <w:kern w:val="2"/>
          <w:sz w:val="28"/>
          <w:szCs w:val="28"/>
        </w:rPr>
      </w:pPr>
      <w:r>
        <w:rPr>
          <w:rFonts w:hint="eastAsia" w:ascii="Calibri" w:hAnsi="Calibri" w:eastAsia="宋体" w:cs="Times New Roman"/>
          <w:color w:val="000000"/>
          <w:kern w:val="2"/>
          <w:sz w:val="28"/>
          <w:szCs w:val="28"/>
        </w:rPr>
        <w:t>4）、检测所需的仪器、临时电缆、脚手架、登高车、吊车、焊接工具、拆卸工具、挖掘机、局部破损性试验按原样恢复所需要的相关材料等一切费用，投标单位自行考虑，包含在报价中，该费用包定，不做调整。</w:t>
      </w:r>
    </w:p>
    <w:p>
      <w:pPr>
        <w:pStyle w:val="32"/>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600" w:lineRule="exact"/>
        <w:ind w:firstLineChars="0"/>
        <w:textAlignment w:val="auto"/>
        <w:rPr>
          <w:rFonts w:hint="eastAsia" w:eastAsia="宋体" w:cs="Times New Roman"/>
          <w:b/>
          <w:sz w:val="28"/>
          <w:szCs w:val="28"/>
        </w:rPr>
      </w:pPr>
      <w:r>
        <w:rPr>
          <w:rFonts w:hint="eastAsia" w:eastAsia="宋体" w:cs="Times New Roman"/>
          <w:b/>
          <w:sz w:val="28"/>
          <w:szCs w:val="28"/>
        </w:rPr>
        <w:t>付款方式：</w:t>
      </w:r>
    </w:p>
    <w:p>
      <w:pPr>
        <w:spacing w:line="600" w:lineRule="exact"/>
        <w:jc w:val="both"/>
        <w:rPr>
          <w:color w:val="000000"/>
          <w:sz w:val="28"/>
          <w:szCs w:val="28"/>
        </w:rPr>
      </w:pPr>
      <w:r>
        <w:rPr>
          <w:rFonts w:hint="eastAsia" w:ascii="宋体" w:hAnsi="宋体" w:eastAsia="宋体" w:cs="宋体"/>
          <w:color w:val="000000"/>
          <w:sz w:val="28"/>
          <w:szCs w:val="28"/>
        </w:rPr>
        <w:t xml:space="preserve">     工程</w:t>
      </w:r>
      <w:r>
        <w:rPr>
          <w:rFonts w:hint="eastAsia" w:eastAsia="宋体" w:cs="Times New Roman"/>
          <w:color w:val="000000"/>
          <w:sz w:val="28"/>
          <w:szCs w:val="28"/>
        </w:rPr>
        <w:t>在工期</w:t>
      </w:r>
      <w:r>
        <w:rPr>
          <w:rFonts w:hint="eastAsia" w:eastAsia="宋体" w:cs="Times New Roman"/>
          <w:color w:val="000000"/>
          <w:sz w:val="28"/>
          <w:szCs w:val="28"/>
          <w:lang w:val="en-US" w:eastAsia="zh-CN"/>
        </w:rPr>
        <w:t>内（</w:t>
      </w:r>
      <w:r>
        <w:rPr>
          <w:rFonts w:hint="eastAsia" w:eastAsia="宋体" w:cs="Times New Roman"/>
          <w:color w:val="000000"/>
          <w:sz w:val="28"/>
          <w:szCs w:val="28"/>
        </w:rPr>
        <w:t>含局部破损性试验按原样恢复所需要的时间）提交合格的安全检测鉴定报</w:t>
      </w:r>
      <w:r>
        <w:rPr>
          <w:rFonts w:hint="eastAsia"/>
          <w:color w:val="000000"/>
          <w:sz w:val="28"/>
          <w:szCs w:val="28"/>
        </w:rPr>
        <w:t>告（捌份原件）以及后期</w:t>
      </w:r>
      <w:r>
        <w:rPr>
          <w:color w:val="000000"/>
          <w:sz w:val="28"/>
          <w:szCs w:val="28"/>
        </w:rPr>
        <w:t>服务费</w:t>
      </w:r>
      <w:r>
        <w:rPr>
          <w:rFonts w:hint="eastAsia"/>
          <w:color w:val="000000"/>
          <w:sz w:val="28"/>
          <w:szCs w:val="28"/>
        </w:rPr>
        <w:t>10000.00元汇</w:t>
      </w:r>
      <w:r>
        <w:rPr>
          <w:color w:val="000000"/>
          <w:sz w:val="28"/>
          <w:szCs w:val="28"/>
        </w:rPr>
        <w:t>至</w:t>
      </w:r>
      <w:r>
        <w:rPr>
          <w:rFonts w:hint="eastAsia"/>
          <w:color w:val="000000"/>
          <w:sz w:val="28"/>
          <w:szCs w:val="28"/>
        </w:rPr>
        <w:t>发包方</w:t>
      </w:r>
      <w:r>
        <w:rPr>
          <w:color w:val="000000"/>
          <w:sz w:val="28"/>
          <w:szCs w:val="28"/>
        </w:rPr>
        <w:t>账户</w:t>
      </w:r>
      <w:r>
        <w:rPr>
          <w:rFonts w:hint="eastAsia"/>
          <w:color w:val="000000"/>
          <w:sz w:val="28"/>
          <w:szCs w:val="28"/>
        </w:rPr>
        <w:t>后凭承包方提供的发票支付至合同价100 %</w:t>
      </w:r>
      <w:r>
        <w:rPr>
          <w:rFonts w:hint="eastAsia"/>
          <w:color w:val="000000"/>
          <w:sz w:val="28"/>
          <w:szCs w:val="28"/>
          <w:lang w:eastAsia="zh-CN"/>
        </w:rPr>
        <w:t>，</w:t>
      </w:r>
      <w:r>
        <w:rPr>
          <w:rFonts w:hint="eastAsia"/>
          <w:color w:val="000000"/>
          <w:sz w:val="28"/>
          <w:szCs w:val="28"/>
        </w:rPr>
        <w:t>后期</w:t>
      </w:r>
      <w:r>
        <w:rPr>
          <w:color w:val="000000"/>
          <w:sz w:val="28"/>
          <w:szCs w:val="28"/>
        </w:rPr>
        <w:t>服务费</w:t>
      </w:r>
      <w:r>
        <w:rPr>
          <w:rFonts w:hint="eastAsia"/>
          <w:color w:val="000000"/>
          <w:sz w:val="28"/>
          <w:szCs w:val="28"/>
        </w:rPr>
        <w:t>10000.00元一年后服务期满无息返还。</w:t>
      </w:r>
    </w:p>
    <w:p>
      <w:pPr>
        <w:pStyle w:val="32"/>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600" w:lineRule="exact"/>
        <w:ind w:firstLineChars="0"/>
        <w:textAlignment w:val="auto"/>
        <w:rPr>
          <w:rFonts w:hint="eastAsia" w:eastAsia="宋体" w:cs="Times New Roman"/>
          <w:b/>
          <w:sz w:val="28"/>
          <w:szCs w:val="28"/>
        </w:rPr>
      </w:pPr>
      <w:r>
        <w:rPr>
          <w:rFonts w:hint="eastAsia" w:eastAsia="宋体" w:cs="Times New Roman"/>
          <w:b/>
          <w:sz w:val="28"/>
          <w:szCs w:val="28"/>
        </w:rPr>
        <w:t>安全文明施工：</w:t>
      </w:r>
    </w:p>
    <w:p>
      <w:pPr>
        <w:pStyle w:val="46"/>
        <w:spacing w:line="600" w:lineRule="exact"/>
        <w:ind w:firstLine="700" w:firstLineChars="250"/>
        <w:jc w:val="both"/>
        <w:rPr>
          <w:kern w:val="2"/>
          <w:sz w:val="28"/>
          <w:szCs w:val="28"/>
        </w:rPr>
      </w:pPr>
      <w:r>
        <w:rPr>
          <w:rFonts w:hint="eastAsia" w:ascii="Calibri" w:hAnsi="Calibri" w:eastAsia="宋体" w:cs="Times New Roman"/>
          <w:kern w:val="2"/>
          <w:sz w:val="28"/>
          <w:szCs w:val="28"/>
        </w:rPr>
        <w:t>本项目大部分作业面为高空作业，中标人应制定安全作业细则并在现场检测时严格执行，否则承担由此带来的一切安全后果：</w:t>
      </w:r>
    </w:p>
    <w:p>
      <w:pPr>
        <w:pStyle w:val="32"/>
        <w:numPr>
          <w:ilvl w:val="0"/>
          <w:numId w:val="0"/>
        </w:numPr>
        <w:spacing w:line="600" w:lineRule="exact"/>
        <w:ind w:firstLine="560" w:firstLineChars="200"/>
        <w:jc w:val="both"/>
        <w:rPr>
          <w:rFonts w:ascii="宋体" w:hAnsi="宋体"/>
          <w:sz w:val="28"/>
          <w:szCs w:val="28"/>
        </w:rPr>
      </w:pPr>
      <w:r>
        <w:rPr>
          <w:rFonts w:hint="eastAsia" w:ascii="宋体" w:hAnsi="宋体" w:eastAsia="宋体" w:cs="Times New Roman"/>
          <w:sz w:val="28"/>
          <w:szCs w:val="28"/>
        </w:rPr>
        <w:t>检测人员进入现场要戴安全帽、高空操作时必须系好安全带</w:t>
      </w:r>
      <w:r>
        <w:rPr>
          <w:rFonts w:hint="eastAsia" w:ascii="宋体" w:hAnsi="宋体"/>
          <w:sz w:val="28"/>
          <w:szCs w:val="28"/>
        </w:rPr>
        <w:t>且</w:t>
      </w:r>
      <w:r>
        <w:rPr>
          <w:rFonts w:hint="eastAsia" w:ascii="宋体" w:hAnsi="宋体" w:eastAsia="宋体" w:cs="Times New Roman"/>
          <w:sz w:val="28"/>
          <w:szCs w:val="28"/>
        </w:rPr>
        <w:t>高空作业人员须持证上岗；</w:t>
      </w:r>
    </w:p>
    <w:p>
      <w:pPr>
        <w:pStyle w:val="32"/>
        <w:numPr>
          <w:ilvl w:val="0"/>
          <w:numId w:val="0"/>
        </w:numPr>
        <w:spacing w:line="600" w:lineRule="exact"/>
        <w:ind w:firstLine="560" w:firstLineChars="200"/>
        <w:jc w:val="both"/>
        <w:rPr>
          <w:rFonts w:ascii="宋体" w:hAnsi="宋体"/>
          <w:sz w:val="28"/>
          <w:szCs w:val="28"/>
        </w:rPr>
      </w:pPr>
      <w:r>
        <w:rPr>
          <w:rFonts w:hint="eastAsia" w:ascii="宋体" w:hAnsi="宋体" w:eastAsia="宋体" w:cs="Times New Roman"/>
          <w:sz w:val="28"/>
          <w:szCs w:val="28"/>
        </w:rPr>
        <w:t>现场接电时，要由持证专业人员操作；</w:t>
      </w:r>
    </w:p>
    <w:p>
      <w:pPr>
        <w:pStyle w:val="32"/>
        <w:numPr>
          <w:ilvl w:val="0"/>
          <w:numId w:val="0"/>
        </w:numPr>
        <w:spacing w:line="600" w:lineRule="exact"/>
        <w:ind w:firstLine="560" w:firstLineChars="200"/>
        <w:jc w:val="both"/>
        <w:rPr>
          <w:rFonts w:ascii="宋体" w:hAnsi="宋体" w:eastAsia="宋体" w:cs="Times New Roman"/>
          <w:sz w:val="28"/>
          <w:szCs w:val="28"/>
        </w:rPr>
      </w:pPr>
      <w:r>
        <w:rPr>
          <w:rFonts w:hint="eastAsia" w:ascii="宋体" w:hAnsi="宋体" w:eastAsia="宋体" w:cs="Times New Roman"/>
          <w:sz w:val="28"/>
          <w:szCs w:val="28"/>
        </w:rPr>
        <w:t>检测产生的混凝土碎屑等垃圾应打包归堆并清理出校园至芜湖市市容局指定地点；</w:t>
      </w:r>
    </w:p>
    <w:p>
      <w:pPr>
        <w:pStyle w:val="32"/>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600" w:lineRule="exact"/>
        <w:ind w:firstLineChars="0"/>
        <w:textAlignment w:val="auto"/>
        <w:rPr>
          <w:rFonts w:hint="eastAsia" w:eastAsia="宋体" w:cs="Times New Roman"/>
          <w:b/>
          <w:sz w:val="28"/>
          <w:szCs w:val="28"/>
        </w:rPr>
      </w:pPr>
      <w:r>
        <w:rPr>
          <w:rFonts w:hint="eastAsia" w:eastAsia="宋体" w:cs="Times New Roman"/>
          <w:b/>
          <w:sz w:val="28"/>
          <w:szCs w:val="28"/>
        </w:rPr>
        <w:t>挂靠、转包的行为的处理：</w:t>
      </w:r>
    </w:p>
    <w:p>
      <w:pPr>
        <w:pStyle w:val="46"/>
        <w:spacing w:line="600" w:lineRule="exact"/>
        <w:ind w:firstLine="420" w:firstLineChars="150"/>
        <w:rPr>
          <w:rFonts w:ascii="Calibri" w:hAnsi="Calibri" w:eastAsia="宋体" w:cs="Times New Roman"/>
          <w:kern w:val="2"/>
          <w:sz w:val="28"/>
          <w:szCs w:val="28"/>
        </w:rPr>
      </w:pPr>
      <w:r>
        <w:rPr>
          <w:rFonts w:hint="eastAsia" w:ascii="Calibri" w:hAnsi="Calibri" w:eastAsia="宋体" w:cs="Times New Roman"/>
          <w:kern w:val="2"/>
          <w:sz w:val="28"/>
          <w:szCs w:val="28"/>
        </w:rPr>
        <w:t>中标人必须根据规范开展检测鉴定工作，确保试验数据的客观、公正、科学。中标人所完成的工作内容必须达到国家相关法规对环境保护的要求。严禁投标人有挂靠、转包的行为，一旦发现即终止合同，并报建设行政主管部门进行相应处罚；</w:t>
      </w:r>
    </w:p>
    <w:p>
      <w:pPr>
        <w:pStyle w:val="32"/>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600" w:lineRule="exact"/>
        <w:ind w:firstLineChars="0"/>
        <w:textAlignment w:val="auto"/>
        <w:rPr>
          <w:rFonts w:hint="eastAsia" w:eastAsia="宋体" w:cs="Times New Roman"/>
          <w:b/>
          <w:sz w:val="28"/>
          <w:szCs w:val="28"/>
        </w:rPr>
      </w:pPr>
      <w:r>
        <w:rPr>
          <w:rFonts w:hint="eastAsia" w:eastAsia="宋体" w:cs="Times New Roman"/>
          <w:b/>
          <w:sz w:val="28"/>
          <w:szCs w:val="28"/>
        </w:rPr>
        <w:t>工程内容：</w:t>
      </w:r>
    </w:p>
    <w:p>
      <w:pPr>
        <w:pStyle w:val="32"/>
        <w:numPr>
          <w:ilvl w:val="0"/>
          <w:numId w:val="0"/>
        </w:numPr>
        <w:spacing w:line="600" w:lineRule="exact"/>
        <w:ind w:firstLine="560" w:firstLineChars="200"/>
        <w:rPr>
          <w:sz w:val="28"/>
          <w:szCs w:val="28"/>
        </w:rPr>
      </w:pPr>
      <w:r>
        <w:rPr>
          <w:rFonts w:hint="eastAsia"/>
          <w:sz w:val="28"/>
          <w:szCs w:val="28"/>
          <w:lang w:val="en-US" w:eastAsia="zh-CN"/>
        </w:rPr>
        <w:t>1.</w:t>
      </w:r>
      <w:r>
        <w:rPr>
          <w:rFonts w:hint="eastAsia"/>
          <w:sz w:val="28"/>
          <w:szCs w:val="28"/>
        </w:rPr>
        <w:t>既有石材幕墙安全性鉴定内容执行【既有建筑幕墙安全性鉴定技术规程DB34T3752-2020】的要求，应包括且不限于以下内容：</w:t>
      </w:r>
    </w:p>
    <w:p>
      <w:pPr>
        <w:pStyle w:val="32"/>
        <w:spacing w:line="600" w:lineRule="exact"/>
        <w:ind w:left="0" w:leftChars="0" w:firstLine="560" w:firstLineChars="200"/>
        <w:rPr>
          <w:rFonts w:hint="eastAsia" w:eastAsia="宋体"/>
          <w:sz w:val="28"/>
          <w:szCs w:val="28"/>
          <w:lang w:eastAsia="zh-CN"/>
        </w:rPr>
      </w:pPr>
      <w:r>
        <w:rPr>
          <w:rFonts w:hint="eastAsia"/>
          <w:sz w:val="28"/>
          <w:szCs w:val="28"/>
        </w:rPr>
        <w:t>（1）既有石材幕墙基本情况调查及幕墙现状检查</w:t>
      </w:r>
      <w:r>
        <w:rPr>
          <w:rFonts w:hint="eastAsia"/>
          <w:sz w:val="28"/>
          <w:szCs w:val="28"/>
          <w:lang w:eastAsia="zh-CN"/>
        </w:rPr>
        <w:t>；</w:t>
      </w:r>
    </w:p>
    <w:p>
      <w:pPr>
        <w:pStyle w:val="32"/>
        <w:numPr>
          <w:ilvl w:val="0"/>
          <w:numId w:val="0"/>
        </w:numPr>
        <w:spacing w:line="600" w:lineRule="exact"/>
        <w:ind w:firstLine="560" w:firstLineChars="200"/>
        <w:rPr>
          <w:rFonts w:hint="eastAsia" w:eastAsia="宋体" w:cs="Times New Roman"/>
          <w:sz w:val="28"/>
          <w:szCs w:val="28"/>
          <w:lang w:eastAsia="zh-CN"/>
        </w:rPr>
      </w:pPr>
      <w:r>
        <w:rPr>
          <w:rFonts w:hint="eastAsia" w:eastAsia="宋体" w:cs="Times New Roman"/>
          <w:sz w:val="28"/>
          <w:szCs w:val="28"/>
        </w:rPr>
        <w:t>（2）幕墙钢结构框架检测</w:t>
      </w:r>
      <w:r>
        <w:rPr>
          <w:rFonts w:hint="eastAsia" w:eastAsia="宋体" w:cs="Times New Roman"/>
          <w:sz w:val="28"/>
          <w:szCs w:val="28"/>
          <w:lang w:eastAsia="zh-CN"/>
        </w:rPr>
        <w:t>；</w:t>
      </w:r>
    </w:p>
    <w:p>
      <w:pPr>
        <w:pStyle w:val="32"/>
        <w:numPr>
          <w:ilvl w:val="0"/>
          <w:numId w:val="0"/>
        </w:numPr>
        <w:spacing w:line="600" w:lineRule="exact"/>
        <w:ind w:firstLine="560" w:firstLineChars="200"/>
        <w:rPr>
          <w:rFonts w:hint="eastAsia" w:eastAsia="宋体" w:cs="Times New Roman"/>
          <w:sz w:val="28"/>
          <w:szCs w:val="28"/>
          <w:lang w:eastAsia="zh-CN"/>
        </w:rPr>
      </w:pPr>
      <w:r>
        <w:rPr>
          <w:rFonts w:hint="eastAsia" w:eastAsia="宋体" w:cs="Times New Roman"/>
          <w:sz w:val="28"/>
          <w:szCs w:val="28"/>
        </w:rPr>
        <w:t>（3）幕墙密封材料检测</w:t>
      </w:r>
      <w:r>
        <w:rPr>
          <w:rFonts w:hint="eastAsia" w:eastAsia="宋体" w:cs="Times New Roman"/>
          <w:sz w:val="28"/>
          <w:szCs w:val="28"/>
          <w:lang w:eastAsia="zh-CN"/>
        </w:rPr>
        <w:t>；</w:t>
      </w:r>
    </w:p>
    <w:p>
      <w:pPr>
        <w:pStyle w:val="32"/>
        <w:numPr>
          <w:ilvl w:val="0"/>
          <w:numId w:val="0"/>
        </w:numPr>
        <w:spacing w:line="600" w:lineRule="exact"/>
        <w:ind w:firstLine="560" w:firstLineChars="200"/>
        <w:rPr>
          <w:rFonts w:hint="eastAsia" w:eastAsia="宋体" w:cs="Times New Roman"/>
          <w:sz w:val="28"/>
          <w:szCs w:val="28"/>
          <w:lang w:eastAsia="zh-CN"/>
        </w:rPr>
      </w:pPr>
      <w:r>
        <w:rPr>
          <w:rFonts w:hint="eastAsia" w:eastAsia="宋体" w:cs="Times New Roman"/>
          <w:sz w:val="28"/>
          <w:szCs w:val="28"/>
        </w:rPr>
        <w:t>（4）石材面板检测</w:t>
      </w:r>
      <w:r>
        <w:rPr>
          <w:rFonts w:hint="eastAsia" w:eastAsia="宋体" w:cs="Times New Roman"/>
          <w:sz w:val="28"/>
          <w:szCs w:val="28"/>
          <w:lang w:eastAsia="zh-CN"/>
        </w:rPr>
        <w:t>；</w:t>
      </w:r>
    </w:p>
    <w:p>
      <w:pPr>
        <w:pStyle w:val="32"/>
        <w:numPr>
          <w:ilvl w:val="0"/>
          <w:numId w:val="0"/>
        </w:numPr>
        <w:spacing w:line="600" w:lineRule="exact"/>
        <w:ind w:firstLine="560" w:firstLineChars="200"/>
        <w:rPr>
          <w:rFonts w:hint="eastAsia" w:eastAsia="宋体" w:cs="Times New Roman"/>
          <w:sz w:val="28"/>
          <w:szCs w:val="28"/>
          <w:lang w:eastAsia="zh-CN"/>
        </w:rPr>
      </w:pPr>
      <w:r>
        <w:rPr>
          <w:rFonts w:hint="eastAsia" w:eastAsia="宋体" w:cs="Times New Roman"/>
          <w:sz w:val="28"/>
          <w:szCs w:val="28"/>
        </w:rPr>
        <w:t>（5）对幕墙的造型、立面分格、颜色、幕墙面板的规格、厚度等是否符合设计要求进行核查，并对幕墙面板表面存在有爆裂、凹坑、缺角、裂缝、斑痕以及渗漏等质量缺陷进行普查、记录</w:t>
      </w:r>
      <w:r>
        <w:rPr>
          <w:rFonts w:hint="eastAsia" w:eastAsia="宋体" w:cs="Times New Roman"/>
          <w:sz w:val="28"/>
          <w:szCs w:val="28"/>
          <w:lang w:eastAsia="zh-CN"/>
        </w:rPr>
        <w:t>；</w:t>
      </w:r>
    </w:p>
    <w:p>
      <w:pPr>
        <w:pStyle w:val="32"/>
        <w:numPr>
          <w:ilvl w:val="0"/>
          <w:numId w:val="0"/>
        </w:numPr>
        <w:spacing w:line="600" w:lineRule="exact"/>
        <w:ind w:firstLine="560" w:firstLineChars="200"/>
        <w:rPr>
          <w:rFonts w:hint="eastAsia" w:eastAsia="宋体" w:cs="Times New Roman"/>
          <w:sz w:val="28"/>
          <w:szCs w:val="28"/>
        </w:rPr>
      </w:pPr>
      <w:r>
        <w:rPr>
          <w:rFonts w:hint="eastAsia" w:eastAsia="宋体" w:cs="Times New Roman"/>
          <w:sz w:val="28"/>
          <w:szCs w:val="28"/>
        </w:rPr>
        <w:t>（6）安全性评价及处理建议：根据国家规范、现行规定和现场检查、检测结果，对幕墙受损现状及安全性进行鉴定，出具正式的检测报告，并提出维修处理建议。</w:t>
      </w:r>
    </w:p>
    <w:p>
      <w:pPr>
        <w:spacing w:line="600" w:lineRule="exact"/>
        <w:rPr>
          <w:sz w:val="28"/>
          <w:szCs w:val="28"/>
        </w:rPr>
      </w:pPr>
      <w:r>
        <w:rPr>
          <w:rFonts w:hint="eastAsia"/>
          <w:sz w:val="28"/>
          <w:szCs w:val="28"/>
        </w:rPr>
        <w:t xml:space="preserve">     </w:t>
      </w:r>
      <w:r>
        <w:rPr>
          <w:rFonts w:hint="eastAsia"/>
          <w:sz w:val="28"/>
          <w:szCs w:val="28"/>
          <w:lang w:val="en-US" w:eastAsia="zh-CN"/>
        </w:rPr>
        <w:t>2.</w:t>
      </w:r>
      <w:r>
        <w:rPr>
          <w:rFonts w:hint="eastAsia"/>
          <w:sz w:val="28"/>
          <w:szCs w:val="28"/>
        </w:rPr>
        <w:t>既有钢结构（含大跨度网架）安全性鉴定内容执行【GBT50344-2019建筑结构检测技术标准】的要求，应包括且不限于以下内容：</w:t>
      </w:r>
    </w:p>
    <w:p>
      <w:pPr>
        <w:spacing w:line="600" w:lineRule="exact"/>
        <w:ind w:firstLine="560" w:firstLineChars="200"/>
        <w:rPr>
          <w:rFonts w:hint="eastAsia" w:eastAsia="宋体"/>
          <w:sz w:val="28"/>
          <w:szCs w:val="28"/>
          <w:lang w:eastAsia="zh-CN"/>
        </w:rPr>
      </w:pPr>
      <w:r>
        <w:rPr>
          <w:rFonts w:hint="eastAsia"/>
          <w:sz w:val="28"/>
          <w:szCs w:val="28"/>
        </w:rPr>
        <w:t>（1）既有钢结构基本情况调查及钢结构现状检查</w:t>
      </w:r>
      <w:r>
        <w:rPr>
          <w:rFonts w:hint="eastAsia"/>
          <w:sz w:val="28"/>
          <w:szCs w:val="28"/>
          <w:lang w:eastAsia="zh-CN"/>
        </w:rPr>
        <w:t>；</w:t>
      </w:r>
    </w:p>
    <w:p>
      <w:pPr>
        <w:spacing w:line="600" w:lineRule="exact"/>
        <w:ind w:firstLine="560" w:firstLineChars="200"/>
        <w:rPr>
          <w:rFonts w:hint="eastAsia" w:eastAsia="宋体"/>
          <w:sz w:val="28"/>
          <w:szCs w:val="28"/>
          <w:lang w:eastAsia="zh-CN"/>
        </w:rPr>
      </w:pPr>
      <w:r>
        <w:rPr>
          <w:rFonts w:hint="eastAsia"/>
          <w:sz w:val="28"/>
          <w:szCs w:val="28"/>
        </w:rPr>
        <w:t>（2）结构布置和构造</w:t>
      </w:r>
      <w:r>
        <w:rPr>
          <w:rFonts w:hint="eastAsia"/>
          <w:sz w:val="28"/>
          <w:szCs w:val="28"/>
          <w:lang w:eastAsia="zh-CN"/>
        </w:rPr>
        <w:t>；</w:t>
      </w:r>
    </w:p>
    <w:p>
      <w:pPr>
        <w:spacing w:line="600" w:lineRule="exact"/>
        <w:ind w:firstLine="560" w:firstLineChars="200"/>
        <w:rPr>
          <w:rFonts w:hint="eastAsia" w:eastAsia="宋体"/>
          <w:sz w:val="28"/>
          <w:szCs w:val="28"/>
          <w:lang w:eastAsia="zh-CN"/>
        </w:rPr>
      </w:pPr>
      <w:r>
        <w:rPr>
          <w:rFonts w:hint="eastAsia"/>
          <w:sz w:val="28"/>
          <w:szCs w:val="28"/>
        </w:rPr>
        <w:t>（3）焊缝质量</w:t>
      </w:r>
      <w:r>
        <w:rPr>
          <w:rFonts w:hint="eastAsia"/>
          <w:sz w:val="28"/>
          <w:szCs w:val="28"/>
          <w:lang w:eastAsia="zh-CN"/>
        </w:rPr>
        <w:t>；</w:t>
      </w:r>
    </w:p>
    <w:p>
      <w:pPr>
        <w:spacing w:line="600" w:lineRule="exact"/>
        <w:ind w:firstLine="560" w:firstLineChars="200"/>
        <w:rPr>
          <w:rFonts w:hint="eastAsia" w:eastAsia="宋体"/>
          <w:sz w:val="28"/>
          <w:szCs w:val="28"/>
          <w:lang w:eastAsia="zh-CN"/>
        </w:rPr>
      </w:pPr>
      <w:r>
        <w:rPr>
          <w:rFonts w:hint="eastAsia"/>
          <w:sz w:val="28"/>
          <w:szCs w:val="28"/>
        </w:rPr>
        <w:t>（4）网架挠度变形</w:t>
      </w:r>
      <w:r>
        <w:rPr>
          <w:rFonts w:hint="eastAsia"/>
          <w:sz w:val="28"/>
          <w:szCs w:val="28"/>
          <w:lang w:eastAsia="zh-CN"/>
        </w:rPr>
        <w:t>；</w:t>
      </w:r>
    </w:p>
    <w:p>
      <w:pPr>
        <w:spacing w:line="600" w:lineRule="exact"/>
        <w:ind w:firstLine="560" w:firstLineChars="200"/>
        <w:rPr>
          <w:rFonts w:hint="eastAsia" w:eastAsia="宋体"/>
          <w:sz w:val="28"/>
          <w:szCs w:val="28"/>
          <w:lang w:eastAsia="zh-CN"/>
        </w:rPr>
      </w:pPr>
      <w:r>
        <w:rPr>
          <w:rFonts w:hint="eastAsia"/>
          <w:sz w:val="28"/>
          <w:szCs w:val="28"/>
        </w:rPr>
        <w:t>（5）网架杆件及连接件外观质量缺陷</w:t>
      </w:r>
      <w:r>
        <w:rPr>
          <w:rFonts w:hint="eastAsia"/>
          <w:sz w:val="28"/>
          <w:szCs w:val="28"/>
          <w:lang w:eastAsia="zh-CN"/>
        </w:rPr>
        <w:t>；</w:t>
      </w:r>
    </w:p>
    <w:p>
      <w:pPr>
        <w:pStyle w:val="3"/>
        <w:spacing w:line="600" w:lineRule="exact"/>
        <w:ind w:firstLine="560" w:firstLineChars="200"/>
        <w:rPr>
          <w:rFonts w:hint="eastAsia" w:ascii="Calibri" w:hAnsi="Calibri" w:eastAsia="宋体" w:cs="Times New Roman"/>
          <w:color w:val="auto"/>
          <w:kern w:val="2"/>
          <w:sz w:val="28"/>
          <w:szCs w:val="28"/>
          <w:lang w:eastAsia="zh-CN"/>
        </w:rPr>
      </w:pPr>
      <w:r>
        <w:rPr>
          <w:rFonts w:hint="eastAsia" w:ascii="Calibri" w:hAnsi="Calibri" w:eastAsia="宋体" w:cs="Times New Roman"/>
          <w:color w:val="auto"/>
          <w:kern w:val="2"/>
          <w:sz w:val="28"/>
          <w:szCs w:val="28"/>
        </w:rPr>
        <w:t>（6）结构验算：根据实测结果结合设计图纸对网架目前状况做出科学的计算评判，进行承载力验算，评估网架的安全性</w:t>
      </w:r>
      <w:r>
        <w:rPr>
          <w:rFonts w:hint="eastAsia" w:ascii="Calibri" w:hAnsi="Calibri" w:cs="Times New Roman"/>
          <w:color w:val="auto"/>
          <w:kern w:val="2"/>
          <w:sz w:val="28"/>
          <w:szCs w:val="28"/>
          <w:lang w:eastAsia="zh-CN"/>
        </w:rPr>
        <w:t>；</w:t>
      </w:r>
    </w:p>
    <w:p>
      <w:pPr>
        <w:adjustRightInd w:val="0"/>
        <w:snapToGrid w:val="0"/>
        <w:spacing w:line="600" w:lineRule="exact"/>
        <w:ind w:firstLine="480" w:firstLineChars="200"/>
        <w:jc w:val="left"/>
        <w:rPr>
          <w:sz w:val="28"/>
          <w:szCs w:val="28"/>
        </w:rPr>
      </w:pPr>
      <w:r>
        <w:rPr>
          <w:rFonts w:hint="eastAsia" w:ascii="Times New Roman" w:hAnsi="Times New Roman" w:cs="Times New Roman"/>
          <w:sz w:val="24"/>
          <w:szCs w:val="24"/>
        </w:rPr>
        <w:t>（</w:t>
      </w:r>
      <w:r>
        <w:rPr>
          <w:rFonts w:hint="eastAsia"/>
          <w:sz w:val="28"/>
          <w:szCs w:val="28"/>
        </w:rPr>
        <w:t>7）安全性评价及处理建议：根据国家规范、现行规定和现场检查、检测结果，对网架结构受损现状及安全性进行鉴定，出具正式的检测报告，并提出维修处理建议。</w:t>
      </w:r>
    </w:p>
    <w:p>
      <w:pPr>
        <w:pStyle w:val="4"/>
        <w:ind w:left="0" w:leftChars="0" w:firstLine="0" w:firstLineChars="0"/>
        <w:rPr>
          <w:rFonts w:hint="eastAsia" w:ascii="Times New Roman" w:hAnsi="Times New Roman" w:eastAsia="宋体" w:cs="Times New Roman"/>
          <w:b/>
          <w:kern w:val="0"/>
          <w:sz w:val="28"/>
          <w:szCs w:val="28"/>
          <w:lang w:val="en-US" w:eastAsia="zh-CN" w:bidi="ar-SA"/>
        </w:rPr>
      </w:pPr>
      <w:r>
        <w:rPr>
          <w:rFonts w:hint="eastAsia" w:eastAsia="宋体" w:cs="Times New Roman"/>
          <w:b/>
          <w:kern w:val="0"/>
          <w:sz w:val="28"/>
          <w:szCs w:val="28"/>
          <w:lang w:val="en-US" w:eastAsia="zh-CN" w:bidi="ar-SA"/>
        </w:rPr>
        <w:t>九</w:t>
      </w:r>
      <w:r>
        <w:rPr>
          <w:rFonts w:hint="eastAsia" w:ascii="Times New Roman" w:hAnsi="Times New Roman" w:eastAsia="宋体" w:cs="Times New Roman"/>
          <w:b/>
          <w:kern w:val="0"/>
          <w:sz w:val="28"/>
          <w:szCs w:val="28"/>
          <w:lang w:val="en-US" w:eastAsia="zh-CN" w:bidi="ar-SA"/>
        </w:rPr>
        <w:t>、现场检测数量：</w:t>
      </w:r>
    </w:p>
    <w:p>
      <w:pPr>
        <w:pStyle w:val="32"/>
        <w:numPr>
          <w:ilvl w:val="0"/>
          <w:numId w:val="0"/>
        </w:numPr>
        <w:spacing w:line="600" w:lineRule="exact"/>
        <w:ind w:firstLine="560" w:firstLineChars="200"/>
        <w:rPr>
          <w:rFonts w:hint="eastAsia" w:eastAsia="宋体"/>
          <w:sz w:val="28"/>
          <w:szCs w:val="28"/>
          <w:lang w:eastAsia="zh-CN"/>
        </w:rPr>
      </w:pPr>
      <w:r>
        <w:rPr>
          <w:rFonts w:hint="eastAsia"/>
          <w:sz w:val="28"/>
          <w:szCs w:val="28"/>
          <w:lang w:val="en-US" w:eastAsia="zh-CN"/>
        </w:rPr>
        <w:t>1.</w:t>
      </w:r>
      <w:r>
        <w:rPr>
          <w:rFonts w:hint="eastAsia"/>
          <w:sz w:val="28"/>
          <w:szCs w:val="28"/>
        </w:rPr>
        <w:t>钢结构：</w:t>
      </w:r>
      <w:r>
        <w:rPr>
          <w:sz w:val="28"/>
          <w:szCs w:val="28"/>
        </w:rPr>
        <w:t>检测数量不低于GB/T50344-2019标准</w:t>
      </w:r>
      <w:r>
        <w:rPr>
          <w:rFonts w:hint="eastAsia"/>
          <w:sz w:val="28"/>
          <w:szCs w:val="28"/>
        </w:rPr>
        <w:t>的</w:t>
      </w:r>
      <w:r>
        <w:rPr>
          <w:sz w:val="28"/>
          <w:szCs w:val="28"/>
        </w:rPr>
        <w:t>相关要求</w:t>
      </w:r>
      <w:r>
        <w:rPr>
          <w:rFonts w:hint="eastAsia"/>
          <w:sz w:val="28"/>
          <w:szCs w:val="28"/>
          <w:lang w:eastAsia="zh-CN"/>
        </w:rPr>
        <w:t>。</w:t>
      </w:r>
    </w:p>
    <w:p>
      <w:pPr>
        <w:pStyle w:val="32"/>
        <w:numPr>
          <w:ilvl w:val="0"/>
          <w:numId w:val="0"/>
        </w:numPr>
        <w:spacing w:line="600" w:lineRule="exact"/>
        <w:ind w:firstLine="560" w:firstLineChars="200"/>
        <w:rPr>
          <w:rFonts w:hint="eastAsia" w:eastAsia="宋体"/>
          <w:sz w:val="28"/>
          <w:szCs w:val="28"/>
          <w:lang w:eastAsia="zh-CN"/>
        </w:rPr>
      </w:pPr>
      <w:r>
        <w:rPr>
          <w:rFonts w:hint="eastAsia"/>
          <w:sz w:val="28"/>
          <w:szCs w:val="28"/>
          <w:lang w:val="en-US" w:eastAsia="zh-CN"/>
        </w:rPr>
        <w:t>2.</w:t>
      </w:r>
      <w:r>
        <w:rPr>
          <w:rFonts w:hint="eastAsia"/>
          <w:sz w:val="28"/>
          <w:szCs w:val="28"/>
        </w:rPr>
        <w:t>石材幕墙：</w:t>
      </w:r>
      <w:r>
        <w:rPr>
          <w:sz w:val="28"/>
          <w:szCs w:val="28"/>
        </w:rPr>
        <w:t>检测数量不低于</w:t>
      </w:r>
      <w:r>
        <w:rPr>
          <w:rFonts w:hint="eastAsia"/>
          <w:sz w:val="28"/>
          <w:szCs w:val="28"/>
        </w:rPr>
        <w:t>【既有建筑幕墙安全性鉴定技术规程DB34T3752-2020】标准的相关要求</w:t>
      </w:r>
      <w:r>
        <w:rPr>
          <w:rFonts w:hint="eastAsia"/>
          <w:sz w:val="28"/>
          <w:szCs w:val="28"/>
          <w:lang w:eastAsia="zh-CN"/>
        </w:rPr>
        <w:t>。</w:t>
      </w:r>
    </w:p>
    <w:p>
      <w:pPr>
        <w:pStyle w:val="32"/>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leftChars="0"/>
        <w:textAlignment w:val="auto"/>
        <w:rPr>
          <w:rFonts w:hint="eastAsia" w:eastAsia="宋体" w:cs="Times New Roman"/>
          <w:b/>
          <w:sz w:val="28"/>
          <w:szCs w:val="28"/>
        </w:rPr>
      </w:pPr>
      <w:r>
        <w:rPr>
          <w:rFonts w:hint="eastAsia" w:eastAsia="宋体" w:cs="Times New Roman"/>
          <w:b/>
          <w:sz w:val="28"/>
          <w:szCs w:val="28"/>
          <w:lang w:val="en-US" w:eastAsia="zh-CN"/>
        </w:rPr>
        <w:t>十、</w:t>
      </w:r>
      <w:r>
        <w:rPr>
          <w:rFonts w:hint="eastAsia" w:eastAsia="宋体" w:cs="Times New Roman"/>
          <w:b/>
          <w:sz w:val="28"/>
          <w:szCs w:val="28"/>
        </w:rPr>
        <w:t>工程量清单（既有石材幕墙安全检测鉴定）</w:t>
      </w:r>
    </w:p>
    <w:tbl>
      <w:tblPr>
        <w:tblStyle w:val="28"/>
        <w:tblW w:w="96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2108"/>
        <w:gridCol w:w="3105"/>
        <w:gridCol w:w="1635"/>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dxa"/>
            <w:noWrap w:val="0"/>
            <w:vAlign w:val="top"/>
          </w:tcPr>
          <w:p>
            <w:pPr>
              <w:rPr>
                <w:sz w:val="28"/>
                <w:szCs w:val="28"/>
              </w:rPr>
            </w:pPr>
            <w:r>
              <w:rPr>
                <w:rFonts w:hint="eastAsia"/>
                <w:sz w:val="28"/>
                <w:szCs w:val="28"/>
              </w:rPr>
              <w:t>序号</w:t>
            </w:r>
          </w:p>
        </w:tc>
        <w:tc>
          <w:tcPr>
            <w:tcW w:w="2108" w:type="dxa"/>
            <w:noWrap w:val="0"/>
            <w:vAlign w:val="top"/>
          </w:tcPr>
          <w:p>
            <w:pPr>
              <w:rPr>
                <w:sz w:val="28"/>
                <w:szCs w:val="28"/>
              </w:rPr>
            </w:pPr>
            <w:r>
              <w:rPr>
                <w:rFonts w:hint="eastAsia"/>
                <w:sz w:val="28"/>
                <w:szCs w:val="28"/>
              </w:rPr>
              <w:t>项目名称</w:t>
            </w:r>
          </w:p>
        </w:tc>
        <w:tc>
          <w:tcPr>
            <w:tcW w:w="3105" w:type="dxa"/>
            <w:noWrap w:val="0"/>
            <w:vAlign w:val="top"/>
          </w:tcPr>
          <w:p>
            <w:pPr>
              <w:ind w:firstLine="700" w:firstLineChars="250"/>
              <w:rPr>
                <w:sz w:val="28"/>
                <w:szCs w:val="28"/>
              </w:rPr>
            </w:pPr>
            <w:r>
              <w:rPr>
                <w:rFonts w:hint="eastAsia"/>
                <w:sz w:val="28"/>
                <w:szCs w:val="28"/>
              </w:rPr>
              <w:t>项目图片</w:t>
            </w:r>
          </w:p>
        </w:tc>
        <w:tc>
          <w:tcPr>
            <w:tcW w:w="1635" w:type="dxa"/>
            <w:noWrap w:val="0"/>
            <w:vAlign w:val="top"/>
          </w:tcPr>
          <w:p>
            <w:pPr>
              <w:rPr>
                <w:sz w:val="28"/>
                <w:szCs w:val="28"/>
              </w:rPr>
            </w:pPr>
            <w:r>
              <w:rPr>
                <w:rFonts w:hint="eastAsia"/>
                <w:sz w:val="28"/>
                <w:szCs w:val="28"/>
              </w:rPr>
              <w:t>检测内容</w:t>
            </w:r>
          </w:p>
        </w:tc>
        <w:tc>
          <w:tcPr>
            <w:tcW w:w="2250" w:type="dxa"/>
            <w:noWrap w:val="0"/>
            <w:vAlign w:val="top"/>
          </w:tcPr>
          <w:p>
            <w:pPr>
              <w:rPr>
                <w:sz w:val="28"/>
                <w:szCs w:val="28"/>
              </w:rPr>
            </w:pPr>
            <w:r>
              <w:rPr>
                <w:rFonts w:hint="eastAsia"/>
                <w:sz w:val="28"/>
                <w:szCs w:val="28"/>
              </w:rPr>
              <w:t>检测数量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trPr>
        <w:tc>
          <w:tcPr>
            <w:tcW w:w="571" w:type="dxa"/>
            <w:noWrap w:val="0"/>
            <w:vAlign w:val="top"/>
          </w:tcPr>
          <w:p>
            <w:pPr>
              <w:rPr>
                <w:sz w:val="28"/>
                <w:szCs w:val="28"/>
              </w:rPr>
            </w:pPr>
            <w:r>
              <w:rPr>
                <w:rFonts w:hint="eastAsia"/>
                <w:sz w:val="28"/>
                <w:szCs w:val="28"/>
              </w:rPr>
              <w:t>1</w:t>
            </w:r>
          </w:p>
        </w:tc>
        <w:tc>
          <w:tcPr>
            <w:tcW w:w="2108" w:type="dxa"/>
            <w:noWrap w:val="0"/>
            <w:vAlign w:val="top"/>
          </w:tcPr>
          <w:p>
            <w:pPr>
              <w:rPr>
                <w:sz w:val="24"/>
                <w:szCs w:val="24"/>
              </w:rPr>
            </w:pPr>
            <w:r>
              <w:rPr>
                <w:rFonts w:hint="eastAsia"/>
                <w:sz w:val="24"/>
                <w:szCs w:val="24"/>
              </w:rPr>
              <w:t>滨江校区南大门（含值班室）外墙石材幕墙</w:t>
            </w:r>
          </w:p>
        </w:tc>
        <w:tc>
          <w:tcPr>
            <w:tcW w:w="3105" w:type="dxa"/>
            <w:noWrap w:val="0"/>
            <w:vAlign w:val="top"/>
          </w:tcPr>
          <w:p>
            <w:pPr>
              <w:rPr>
                <w:sz w:val="28"/>
                <w:szCs w:val="28"/>
              </w:rPr>
            </w:pPr>
            <w:r>
              <w:rPr>
                <w:sz w:val="28"/>
                <w:szCs w:val="28"/>
              </w:rPr>
              <w:drawing>
                <wp:inline distT="0" distB="0" distL="114300" distR="114300">
                  <wp:extent cx="1918335" cy="1439545"/>
                  <wp:effectExtent l="0" t="0" r="5715" b="8255"/>
                  <wp:docPr id="7" name="图片 0" descr="1629443459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1629443459617.jpg"/>
                          <pic:cNvPicPr>
                            <a:picLocks noChangeAspect="1"/>
                          </pic:cNvPicPr>
                        </pic:nvPicPr>
                        <pic:blipFill>
                          <a:blip r:embed="rId6"/>
                          <a:stretch>
                            <a:fillRect/>
                          </a:stretch>
                        </pic:blipFill>
                        <pic:spPr>
                          <a:xfrm>
                            <a:off x="0" y="0"/>
                            <a:ext cx="1918335" cy="1439545"/>
                          </a:xfrm>
                          <a:prstGeom prst="rect">
                            <a:avLst/>
                          </a:prstGeom>
                          <a:noFill/>
                          <a:ln>
                            <a:noFill/>
                          </a:ln>
                        </pic:spPr>
                      </pic:pic>
                    </a:graphicData>
                  </a:graphic>
                </wp:inline>
              </w:drawing>
            </w:r>
          </w:p>
        </w:tc>
        <w:tc>
          <w:tcPr>
            <w:tcW w:w="1635" w:type="dxa"/>
            <w:vMerge w:val="restart"/>
            <w:noWrap w:val="0"/>
            <w:vAlign w:val="top"/>
          </w:tcPr>
          <w:p>
            <w:pPr>
              <w:pStyle w:val="16"/>
              <w:spacing w:line="360" w:lineRule="auto"/>
            </w:pPr>
            <w:r>
              <w:rPr>
                <w:rFonts w:hint="eastAsia"/>
              </w:rPr>
              <w:t>详见</w:t>
            </w:r>
            <w:r>
              <w:rPr>
                <w:rFonts w:hint="eastAsia"/>
                <w:lang w:val="en-US" w:eastAsia="zh-CN"/>
              </w:rPr>
              <w:t>第八项</w:t>
            </w:r>
            <w:r>
              <w:rPr>
                <w:rFonts w:hint="eastAsia"/>
              </w:rPr>
              <w:t>工程内容</w:t>
            </w:r>
          </w:p>
        </w:tc>
        <w:tc>
          <w:tcPr>
            <w:tcW w:w="2250" w:type="dxa"/>
            <w:vMerge w:val="restart"/>
            <w:noWrap w:val="0"/>
            <w:vAlign w:val="top"/>
          </w:tcPr>
          <w:p>
            <w:pPr>
              <w:rPr>
                <w:sz w:val="24"/>
                <w:szCs w:val="24"/>
              </w:rPr>
            </w:pPr>
            <w:r>
              <w:rPr>
                <w:sz w:val="24"/>
                <w:szCs w:val="24"/>
              </w:rPr>
              <w:t>检测数量不低于</w:t>
            </w:r>
            <w:r>
              <w:rPr>
                <w:rFonts w:hint="eastAsia"/>
                <w:sz w:val="24"/>
                <w:szCs w:val="24"/>
              </w:rPr>
              <w:t>【既有建筑幕墙安全性鉴定技术规程DB34T3752-2020】标准的相关要求</w:t>
            </w:r>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571" w:type="dxa"/>
            <w:noWrap w:val="0"/>
            <w:vAlign w:val="top"/>
          </w:tcPr>
          <w:p>
            <w:pPr>
              <w:rPr>
                <w:sz w:val="28"/>
                <w:szCs w:val="28"/>
              </w:rPr>
            </w:pPr>
            <w:r>
              <w:rPr>
                <w:rFonts w:hint="eastAsia"/>
                <w:sz w:val="28"/>
                <w:szCs w:val="28"/>
              </w:rPr>
              <w:t>2</w:t>
            </w:r>
          </w:p>
        </w:tc>
        <w:tc>
          <w:tcPr>
            <w:tcW w:w="2108" w:type="dxa"/>
            <w:noWrap w:val="0"/>
            <w:vAlign w:val="top"/>
          </w:tcPr>
          <w:p>
            <w:pPr>
              <w:rPr>
                <w:sz w:val="28"/>
                <w:szCs w:val="28"/>
              </w:rPr>
            </w:pPr>
            <w:r>
              <w:rPr>
                <w:rFonts w:hint="eastAsia"/>
                <w:sz w:val="24"/>
                <w:szCs w:val="24"/>
              </w:rPr>
              <w:t>滨江校区北大门（含值班室）外墙石材幕墙</w:t>
            </w:r>
          </w:p>
        </w:tc>
        <w:tc>
          <w:tcPr>
            <w:tcW w:w="3105" w:type="dxa"/>
            <w:noWrap w:val="0"/>
            <w:vAlign w:val="top"/>
          </w:tcPr>
          <w:p>
            <w:pPr>
              <w:rPr>
                <w:sz w:val="28"/>
                <w:szCs w:val="28"/>
              </w:rPr>
            </w:pPr>
            <w:r>
              <w:rPr>
                <w:sz w:val="28"/>
                <w:szCs w:val="28"/>
              </w:rPr>
              <w:drawing>
                <wp:inline distT="0" distB="0" distL="114300" distR="114300">
                  <wp:extent cx="1918970" cy="1439545"/>
                  <wp:effectExtent l="0" t="0" r="5080" b="8255"/>
                  <wp:docPr id="8" name="图片 1" descr="1629443459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1629443459643.jpg"/>
                          <pic:cNvPicPr>
                            <a:picLocks noChangeAspect="1"/>
                          </pic:cNvPicPr>
                        </pic:nvPicPr>
                        <pic:blipFill>
                          <a:blip r:embed="rId7"/>
                          <a:stretch>
                            <a:fillRect/>
                          </a:stretch>
                        </pic:blipFill>
                        <pic:spPr>
                          <a:xfrm>
                            <a:off x="0" y="0"/>
                            <a:ext cx="1918970" cy="1439545"/>
                          </a:xfrm>
                          <a:prstGeom prst="rect">
                            <a:avLst/>
                          </a:prstGeom>
                          <a:noFill/>
                          <a:ln>
                            <a:noFill/>
                          </a:ln>
                        </pic:spPr>
                      </pic:pic>
                    </a:graphicData>
                  </a:graphic>
                </wp:inline>
              </w:drawing>
            </w:r>
          </w:p>
        </w:tc>
        <w:tc>
          <w:tcPr>
            <w:tcW w:w="1635" w:type="dxa"/>
            <w:vMerge w:val="continue"/>
            <w:noWrap w:val="0"/>
            <w:vAlign w:val="top"/>
          </w:tcPr>
          <w:p>
            <w:pPr>
              <w:rPr>
                <w:sz w:val="28"/>
                <w:szCs w:val="28"/>
              </w:rPr>
            </w:pPr>
          </w:p>
        </w:tc>
        <w:tc>
          <w:tcPr>
            <w:tcW w:w="2250" w:type="dxa"/>
            <w:vMerge w:val="continue"/>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571" w:type="dxa"/>
            <w:noWrap w:val="0"/>
            <w:vAlign w:val="top"/>
          </w:tcPr>
          <w:p>
            <w:pPr>
              <w:rPr>
                <w:sz w:val="28"/>
                <w:szCs w:val="28"/>
              </w:rPr>
            </w:pPr>
            <w:r>
              <w:rPr>
                <w:rFonts w:hint="eastAsia"/>
                <w:sz w:val="28"/>
                <w:szCs w:val="28"/>
              </w:rPr>
              <w:t>3</w:t>
            </w:r>
          </w:p>
        </w:tc>
        <w:tc>
          <w:tcPr>
            <w:tcW w:w="2108" w:type="dxa"/>
            <w:noWrap w:val="0"/>
            <w:vAlign w:val="top"/>
          </w:tcPr>
          <w:p>
            <w:pPr>
              <w:rPr>
                <w:sz w:val="28"/>
                <w:szCs w:val="28"/>
              </w:rPr>
            </w:pPr>
            <w:r>
              <w:rPr>
                <w:rFonts w:hint="eastAsia"/>
                <w:sz w:val="24"/>
                <w:szCs w:val="24"/>
              </w:rPr>
              <w:t>滨江校区东大门（含值班室）外墙石材幕墙</w:t>
            </w:r>
          </w:p>
        </w:tc>
        <w:tc>
          <w:tcPr>
            <w:tcW w:w="3105" w:type="dxa"/>
            <w:noWrap w:val="0"/>
            <w:vAlign w:val="top"/>
          </w:tcPr>
          <w:p>
            <w:pPr>
              <w:rPr>
                <w:sz w:val="28"/>
                <w:szCs w:val="28"/>
              </w:rPr>
            </w:pPr>
            <w:r>
              <w:rPr>
                <w:sz w:val="28"/>
                <w:szCs w:val="28"/>
              </w:rPr>
              <w:drawing>
                <wp:inline distT="0" distB="0" distL="114300" distR="114300">
                  <wp:extent cx="1919605" cy="1439545"/>
                  <wp:effectExtent l="0" t="0" r="4445" b="8255"/>
                  <wp:docPr id="9" name="图片 7" descr="1629443459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1629443459602.jpg"/>
                          <pic:cNvPicPr>
                            <a:picLocks noChangeAspect="1"/>
                          </pic:cNvPicPr>
                        </pic:nvPicPr>
                        <pic:blipFill>
                          <a:blip r:embed="rId8"/>
                          <a:stretch>
                            <a:fillRect/>
                          </a:stretch>
                        </pic:blipFill>
                        <pic:spPr>
                          <a:xfrm>
                            <a:off x="0" y="0"/>
                            <a:ext cx="1919605" cy="1439545"/>
                          </a:xfrm>
                          <a:prstGeom prst="rect">
                            <a:avLst/>
                          </a:prstGeom>
                          <a:noFill/>
                          <a:ln>
                            <a:noFill/>
                          </a:ln>
                        </pic:spPr>
                      </pic:pic>
                    </a:graphicData>
                  </a:graphic>
                </wp:inline>
              </w:drawing>
            </w:r>
          </w:p>
        </w:tc>
        <w:tc>
          <w:tcPr>
            <w:tcW w:w="1635" w:type="dxa"/>
            <w:vMerge w:val="continue"/>
            <w:noWrap w:val="0"/>
            <w:vAlign w:val="top"/>
          </w:tcPr>
          <w:p>
            <w:pPr>
              <w:rPr>
                <w:sz w:val="28"/>
                <w:szCs w:val="28"/>
              </w:rPr>
            </w:pPr>
          </w:p>
        </w:tc>
        <w:tc>
          <w:tcPr>
            <w:tcW w:w="2250" w:type="dxa"/>
            <w:vMerge w:val="continue"/>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571" w:type="dxa"/>
            <w:noWrap w:val="0"/>
            <w:vAlign w:val="top"/>
          </w:tcPr>
          <w:p>
            <w:pPr>
              <w:rPr>
                <w:sz w:val="28"/>
                <w:szCs w:val="28"/>
              </w:rPr>
            </w:pPr>
            <w:r>
              <w:rPr>
                <w:rFonts w:hint="eastAsia"/>
                <w:sz w:val="28"/>
                <w:szCs w:val="28"/>
              </w:rPr>
              <w:t>4</w:t>
            </w:r>
          </w:p>
        </w:tc>
        <w:tc>
          <w:tcPr>
            <w:tcW w:w="2108" w:type="dxa"/>
            <w:noWrap w:val="0"/>
            <w:vAlign w:val="top"/>
          </w:tcPr>
          <w:p>
            <w:pPr>
              <w:rPr>
                <w:sz w:val="24"/>
                <w:szCs w:val="24"/>
              </w:rPr>
            </w:pPr>
            <w:r>
              <w:rPr>
                <w:rFonts w:hint="eastAsia"/>
                <w:sz w:val="24"/>
                <w:szCs w:val="24"/>
              </w:rPr>
              <w:t>赭麓校区主大门（含值班室）外墙石材幕墙</w:t>
            </w:r>
          </w:p>
        </w:tc>
        <w:tc>
          <w:tcPr>
            <w:tcW w:w="3105" w:type="dxa"/>
            <w:noWrap w:val="0"/>
            <w:vAlign w:val="top"/>
          </w:tcPr>
          <w:p>
            <w:pPr>
              <w:rPr>
                <w:sz w:val="28"/>
                <w:szCs w:val="28"/>
              </w:rPr>
            </w:pPr>
            <w:r>
              <w:rPr>
                <w:sz w:val="28"/>
                <w:szCs w:val="28"/>
              </w:rPr>
              <w:drawing>
                <wp:inline distT="0" distB="0" distL="114300" distR="114300">
                  <wp:extent cx="1927860" cy="1445895"/>
                  <wp:effectExtent l="0" t="0" r="15240" b="1905"/>
                  <wp:docPr id="10" name="图片 2" descr="C:\Users\Administrator\Desktop\钢构及幕墙检测\08e4c7f22177b8d38859cc8f31920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C:\Users\Administrator\Desktop\钢构及幕墙检测\08e4c7f22177b8d38859cc8f31920a0.jpg"/>
                          <pic:cNvPicPr>
                            <a:picLocks noChangeAspect="1"/>
                          </pic:cNvPicPr>
                        </pic:nvPicPr>
                        <pic:blipFill>
                          <a:blip r:embed="rId9"/>
                          <a:stretch>
                            <a:fillRect/>
                          </a:stretch>
                        </pic:blipFill>
                        <pic:spPr>
                          <a:xfrm>
                            <a:off x="0" y="0"/>
                            <a:ext cx="1927860" cy="1445895"/>
                          </a:xfrm>
                          <a:prstGeom prst="rect">
                            <a:avLst/>
                          </a:prstGeom>
                          <a:noFill/>
                          <a:ln>
                            <a:noFill/>
                          </a:ln>
                        </pic:spPr>
                      </pic:pic>
                    </a:graphicData>
                  </a:graphic>
                </wp:inline>
              </w:drawing>
            </w:r>
          </w:p>
          <w:p>
            <w:pPr>
              <w:tabs>
                <w:tab w:val="left" w:pos="820"/>
              </w:tabs>
              <w:rPr>
                <w:sz w:val="28"/>
                <w:szCs w:val="28"/>
              </w:rPr>
            </w:pPr>
            <w:r>
              <w:rPr>
                <w:sz w:val="28"/>
                <w:szCs w:val="28"/>
              </w:rPr>
              <w:tab/>
            </w:r>
          </w:p>
        </w:tc>
        <w:tc>
          <w:tcPr>
            <w:tcW w:w="1635" w:type="dxa"/>
            <w:vMerge w:val="continue"/>
            <w:noWrap w:val="0"/>
            <w:vAlign w:val="top"/>
          </w:tcPr>
          <w:p>
            <w:pPr>
              <w:rPr>
                <w:sz w:val="28"/>
                <w:szCs w:val="28"/>
              </w:rPr>
            </w:pPr>
          </w:p>
        </w:tc>
        <w:tc>
          <w:tcPr>
            <w:tcW w:w="2250" w:type="dxa"/>
            <w:vMerge w:val="continue"/>
            <w:noWrap w:val="0"/>
            <w:vAlign w:val="top"/>
          </w:tcPr>
          <w:p>
            <w:pPr>
              <w:rPr>
                <w:sz w:val="28"/>
                <w:szCs w:val="28"/>
              </w:rPr>
            </w:pPr>
          </w:p>
        </w:tc>
      </w:tr>
    </w:tbl>
    <w:p>
      <w:pPr>
        <w:rPr>
          <w:sz w:val="28"/>
          <w:szCs w:val="28"/>
        </w:rPr>
      </w:pPr>
      <w:r>
        <w:rPr>
          <w:rFonts w:hint="eastAsia" w:ascii="Times New Roman" w:hAnsi="Times New Roman" w:eastAsia="宋体" w:cs="Times New Roman"/>
          <w:b/>
          <w:kern w:val="0"/>
          <w:sz w:val="28"/>
          <w:szCs w:val="28"/>
          <w:lang w:val="en-US" w:eastAsia="zh-CN" w:bidi="ar-SA"/>
        </w:rPr>
        <w:t>工程量清单（既有钢结构安全检测鉴定）</w:t>
      </w:r>
    </w:p>
    <w:tbl>
      <w:tblPr>
        <w:tblStyle w:val="28"/>
        <w:tblW w:w="9720" w:type="dxa"/>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915"/>
        <w:gridCol w:w="3300"/>
        <w:gridCol w:w="1725"/>
        <w:gridCol w:w="90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00" w:type="dxa"/>
            <w:noWrap w:val="0"/>
            <w:vAlign w:val="top"/>
          </w:tcPr>
          <w:p>
            <w:pPr>
              <w:rPr>
                <w:sz w:val="24"/>
                <w:szCs w:val="24"/>
              </w:rPr>
            </w:pPr>
            <w:r>
              <w:rPr>
                <w:rFonts w:hint="eastAsia"/>
                <w:sz w:val="24"/>
                <w:szCs w:val="24"/>
              </w:rPr>
              <w:t>序号</w:t>
            </w:r>
          </w:p>
        </w:tc>
        <w:tc>
          <w:tcPr>
            <w:tcW w:w="915" w:type="dxa"/>
            <w:noWrap w:val="0"/>
            <w:vAlign w:val="top"/>
          </w:tcPr>
          <w:p>
            <w:pPr>
              <w:rPr>
                <w:sz w:val="24"/>
                <w:szCs w:val="24"/>
              </w:rPr>
            </w:pPr>
            <w:r>
              <w:rPr>
                <w:rFonts w:hint="eastAsia"/>
                <w:sz w:val="24"/>
                <w:szCs w:val="24"/>
              </w:rPr>
              <w:t>项目名称</w:t>
            </w:r>
          </w:p>
        </w:tc>
        <w:tc>
          <w:tcPr>
            <w:tcW w:w="3300" w:type="dxa"/>
            <w:noWrap w:val="0"/>
            <w:vAlign w:val="top"/>
          </w:tcPr>
          <w:p>
            <w:pPr>
              <w:rPr>
                <w:sz w:val="24"/>
                <w:szCs w:val="24"/>
              </w:rPr>
            </w:pPr>
            <w:r>
              <w:rPr>
                <w:rFonts w:hint="eastAsia"/>
                <w:sz w:val="24"/>
                <w:szCs w:val="24"/>
              </w:rPr>
              <w:t>项目图片</w:t>
            </w:r>
          </w:p>
        </w:tc>
        <w:tc>
          <w:tcPr>
            <w:tcW w:w="1725" w:type="dxa"/>
            <w:noWrap w:val="0"/>
            <w:vAlign w:val="top"/>
          </w:tcPr>
          <w:p>
            <w:pPr>
              <w:rPr>
                <w:sz w:val="24"/>
                <w:szCs w:val="24"/>
              </w:rPr>
            </w:pPr>
            <w:r>
              <w:rPr>
                <w:rFonts w:hint="eastAsia"/>
                <w:sz w:val="24"/>
                <w:szCs w:val="24"/>
              </w:rPr>
              <w:t>项目参数</w:t>
            </w:r>
          </w:p>
        </w:tc>
        <w:tc>
          <w:tcPr>
            <w:tcW w:w="900" w:type="dxa"/>
            <w:noWrap w:val="0"/>
            <w:vAlign w:val="top"/>
          </w:tcPr>
          <w:p>
            <w:pPr>
              <w:rPr>
                <w:sz w:val="24"/>
                <w:szCs w:val="24"/>
              </w:rPr>
            </w:pPr>
            <w:r>
              <w:rPr>
                <w:rFonts w:hint="eastAsia"/>
                <w:sz w:val="24"/>
                <w:szCs w:val="24"/>
              </w:rPr>
              <w:t>检测内容</w:t>
            </w:r>
          </w:p>
        </w:tc>
        <w:tc>
          <w:tcPr>
            <w:tcW w:w="2280" w:type="dxa"/>
            <w:noWrap w:val="0"/>
            <w:vAlign w:val="top"/>
          </w:tcPr>
          <w:p>
            <w:pPr>
              <w:rPr>
                <w:sz w:val="24"/>
                <w:szCs w:val="24"/>
              </w:rPr>
            </w:pPr>
            <w:r>
              <w:rPr>
                <w:rFonts w:hint="eastAsia"/>
                <w:sz w:val="24"/>
                <w:szCs w:val="24"/>
              </w:rPr>
              <w:t>检测点位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600" w:type="dxa"/>
            <w:noWrap w:val="0"/>
            <w:vAlign w:val="top"/>
          </w:tcPr>
          <w:p>
            <w:pPr>
              <w:rPr>
                <w:sz w:val="28"/>
                <w:szCs w:val="28"/>
              </w:rPr>
            </w:pPr>
            <w:r>
              <w:rPr>
                <w:rFonts w:hint="eastAsia"/>
                <w:sz w:val="28"/>
                <w:szCs w:val="28"/>
              </w:rPr>
              <w:t>1</w:t>
            </w:r>
          </w:p>
        </w:tc>
        <w:tc>
          <w:tcPr>
            <w:tcW w:w="915" w:type="dxa"/>
            <w:noWrap w:val="0"/>
            <w:vAlign w:val="top"/>
          </w:tcPr>
          <w:p>
            <w:pPr>
              <w:rPr>
                <w:sz w:val="24"/>
                <w:szCs w:val="24"/>
              </w:rPr>
            </w:pPr>
            <w:r>
              <w:rPr>
                <w:rFonts w:hint="eastAsia"/>
                <w:sz w:val="24"/>
                <w:szCs w:val="24"/>
              </w:rPr>
              <w:t>风雨操场网架</w:t>
            </w:r>
          </w:p>
        </w:tc>
        <w:tc>
          <w:tcPr>
            <w:tcW w:w="3300" w:type="dxa"/>
            <w:noWrap w:val="0"/>
            <w:vAlign w:val="top"/>
          </w:tcPr>
          <w:p>
            <w:pPr>
              <w:rPr>
                <w:sz w:val="28"/>
                <w:szCs w:val="28"/>
              </w:rPr>
            </w:pPr>
            <w:r>
              <w:rPr>
                <w:sz w:val="28"/>
                <w:szCs w:val="28"/>
              </w:rPr>
              <w:drawing>
                <wp:inline distT="0" distB="0" distL="114300" distR="114300">
                  <wp:extent cx="2026920" cy="1520190"/>
                  <wp:effectExtent l="0" t="0" r="11430" b="3810"/>
                  <wp:docPr id="11" name="图片 0" descr="1629443459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0" descr="1629443459637.jpg"/>
                          <pic:cNvPicPr>
                            <a:picLocks noChangeAspect="1"/>
                          </pic:cNvPicPr>
                        </pic:nvPicPr>
                        <pic:blipFill>
                          <a:blip r:embed="rId10"/>
                          <a:stretch>
                            <a:fillRect/>
                          </a:stretch>
                        </pic:blipFill>
                        <pic:spPr>
                          <a:xfrm>
                            <a:off x="0" y="0"/>
                            <a:ext cx="2026920" cy="1520190"/>
                          </a:xfrm>
                          <a:prstGeom prst="rect">
                            <a:avLst/>
                          </a:prstGeom>
                          <a:noFill/>
                          <a:ln>
                            <a:noFill/>
                          </a:ln>
                        </pic:spPr>
                      </pic:pic>
                    </a:graphicData>
                  </a:graphic>
                </wp:inline>
              </w:drawing>
            </w:r>
          </w:p>
        </w:tc>
        <w:tc>
          <w:tcPr>
            <w:tcW w:w="1725" w:type="dxa"/>
            <w:noWrap w:val="0"/>
            <w:vAlign w:val="top"/>
          </w:tcPr>
          <w:p>
            <w:pPr>
              <w:rPr>
                <w:sz w:val="24"/>
                <w:szCs w:val="24"/>
              </w:rPr>
            </w:pPr>
            <w:r>
              <w:rPr>
                <w:rFonts w:hint="eastAsia"/>
                <w:sz w:val="24"/>
                <w:szCs w:val="24"/>
              </w:rPr>
              <w:t>投影面积约5500平方米，最高23米，最低15米</w:t>
            </w:r>
          </w:p>
        </w:tc>
        <w:tc>
          <w:tcPr>
            <w:tcW w:w="900" w:type="dxa"/>
            <w:vMerge w:val="restart"/>
            <w:noWrap w:val="0"/>
            <w:vAlign w:val="top"/>
          </w:tcPr>
          <w:p>
            <w:pPr>
              <w:rPr>
                <w:sz w:val="28"/>
                <w:szCs w:val="28"/>
              </w:rPr>
            </w:pPr>
            <w:r>
              <w:rPr>
                <w:rFonts w:hint="eastAsia" w:eastAsia="宋体" w:cs="Times New Roman"/>
                <w:sz w:val="24"/>
                <w:szCs w:val="24"/>
              </w:rPr>
              <w:t>详见第</w:t>
            </w:r>
            <w:r>
              <w:rPr>
                <w:rFonts w:hint="eastAsia" w:eastAsia="宋体" w:cs="Times New Roman"/>
                <w:sz w:val="24"/>
                <w:szCs w:val="24"/>
                <w:lang w:val="en-US" w:eastAsia="zh-CN"/>
              </w:rPr>
              <w:t>八</w:t>
            </w:r>
            <w:r>
              <w:rPr>
                <w:rFonts w:hint="eastAsia" w:eastAsia="宋体" w:cs="Times New Roman"/>
                <w:sz w:val="24"/>
                <w:szCs w:val="24"/>
              </w:rPr>
              <w:t>项工程内容</w:t>
            </w:r>
          </w:p>
        </w:tc>
        <w:tc>
          <w:tcPr>
            <w:tcW w:w="2280" w:type="dxa"/>
            <w:vMerge w:val="restart"/>
            <w:noWrap w:val="0"/>
            <w:vAlign w:val="top"/>
          </w:tcPr>
          <w:p>
            <w:pPr>
              <w:rPr>
                <w:sz w:val="24"/>
                <w:szCs w:val="24"/>
              </w:rPr>
            </w:pPr>
            <w:r>
              <w:rPr>
                <w:rFonts w:hint="eastAsia"/>
                <w:sz w:val="24"/>
                <w:szCs w:val="24"/>
              </w:rPr>
              <w:t>检测数量不低于GB/T50344-2019标准的相关要求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7" w:hRule="atLeast"/>
        </w:trPr>
        <w:tc>
          <w:tcPr>
            <w:tcW w:w="600" w:type="dxa"/>
            <w:noWrap w:val="0"/>
            <w:vAlign w:val="top"/>
          </w:tcPr>
          <w:p>
            <w:pPr>
              <w:rPr>
                <w:sz w:val="28"/>
                <w:szCs w:val="28"/>
              </w:rPr>
            </w:pPr>
            <w:r>
              <w:rPr>
                <w:rFonts w:hint="eastAsia"/>
                <w:sz w:val="28"/>
                <w:szCs w:val="28"/>
              </w:rPr>
              <w:t>2</w:t>
            </w:r>
          </w:p>
        </w:tc>
        <w:tc>
          <w:tcPr>
            <w:tcW w:w="915" w:type="dxa"/>
            <w:noWrap w:val="0"/>
            <w:vAlign w:val="top"/>
          </w:tcPr>
          <w:p>
            <w:pPr>
              <w:rPr>
                <w:sz w:val="24"/>
                <w:szCs w:val="24"/>
              </w:rPr>
            </w:pPr>
            <w:r>
              <w:rPr>
                <w:rFonts w:hint="eastAsia"/>
                <w:sz w:val="24"/>
                <w:szCs w:val="24"/>
              </w:rPr>
              <w:t>风雨操场钢雨棚</w:t>
            </w:r>
          </w:p>
        </w:tc>
        <w:tc>
          <w:tcPr>
            <w:tcW w:w="3300" w:type="dxa"/>
            <w:noWrap w:val="0"/>
            <w:vAlign w:val="top"/>
          </w:tcPr>
          <w:p>
            <w:pPr>
              <w:rPr>
                <w:sz w:val="28"/>
                <w:szCs w:val="28"/>
              </w:rPr>
            </w:pPr>
            <w:r>
              <w:rPr>
                <w:sz w:val="28"/>
                <w:szCs w:val="28"/>
              </w:rPr>
              <w:drawing>
                <wp:inline distT="0" distB="0" distL="114300" distR="114300">
                  <wp:extent cx="2021840" cy="1516380"/>
                  <wp:effectExtent l="0" t="0" r="16510" b="7620"/>
                  <wp:docPr id="12" name="图片 0" descr="1629443459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0" descr="1629443459637.jpg"/>
                          <pic:cNvPicPr>
                            <a:picLocks noChangeAspect="1"/>
                          </pic:cNvPicPr>
                        </pic:nvPicPr>
                        <pic:blipFill>
                          <a:blip r:embed="rId10"/>
                          <a:stretch>
                            <a:fillRect/>
                          </a:stretch>
                        </pic:blipFill>
                        <pic:spPr>
                          <a:xfrm>
                            <a:off x="0" y="0"/>
                            <a:ext cx="2021840" cy="1516380"/>
                          </a:xfrm>
                          <a:prstGeom prst="rect">
                            <a:avLst/>
                          </a:prstGeom>
                          <a:noFill/>
                          <a:ln>
                            <a:noFill/>
                          </a:ln>
                        </pic:spPr>
                      </pic:pic>
                    </a:graphicData>
                  </a:graphic>
                </wp:inline>
              </w:drawing>
            </w:r>
          </w:p>
        </w:tc>
        <w:tc>
          <w:tcPr>
            <w:tcW w:w="1725" w:type="dxa"/>
            <w:noWrap w:val="0"/>
            <w:vAlign w:val="top"/>
          </w:tcPr>
          <w:p>
            <w:pPr>
              <w:rPr>
                <w:sz w:val="28"/>
                <w:szCs w:val="28"/>
              </w:rPr>
            </w:pPr>
            <w:r>
              <w:rPr>
                <w:rFonts w:hint="eastAsia"/>
                <w:sz w:val="28"/>
                <w:szCs w:val="28"/>
              </w:rPr>
              <w:t>4个钢雨棚</w:t>
            </w:r>
          </w:p>
        </w:tc>
        <w:tc>
          <w:tcPr>
            <w:tcW w:w="900" w:type="dxa"/>
            <w:vMerge w:val="continue"/>
            <w:noWrap w:val="0"/>
            <w:vAlign w:val="top"/>
          </w:tcPr>
          <w:p>
            <w:pPr>
              <w:rPr>
                <w:sz w:val="28"/>
                <w:szCs w:val="28"/>
              </w:rPr>
            </w:pPr>
          </w:p>
        </w:tc>
        <w:tc>
          <w:tcPr>
            <w:tcW w:w="2280" w:type="dxa"/>
            <w:vMerge w:val="continue"/>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00" w:type="dxa"/>
            <w:noWrap w:val="0"/>
            <w:vAlign w:val="top"/>
          </w:tcPr>
          <w:p>
            <w:pPr>
              <w:rPr>
                <w:sz w:val="28"/>
                <w:szCs w:val="28"/>
              </w:rPr>
            </w:pPr>
            <w:r>
              <w:rPr>
                <w:rFonts w:hint="eastAsia"/>
                <w:sz w:val="28"/>
                <w:szCs w:val="28"/>
              </w:rPr>
              <w:t>3</w:t>
            </w:r>
          </w:p>
        </w:tc>
        <w:tc>
          <w:tcPr>
            <w:tcW w:w="915" w:type="dxa"/>
            <w:noWrap w:val="0"/>
            <w:vAlign w:val="top"/>
          </w:tcPr>
          <w:p>
            <w:pPr>
              <w:rPr>
                <w:sz w:val="24"/>
                <w:szCs w:val="24"/>
              </w:rPr>
            </w:pPr>
            <w:r>
              <w:rPr>
                <w:rFonts w:hint="eastAsia"/>
                <w:sz w:val="24"/>
                <w:szCs w:val="24"/>
              </w:rPr>
              <w:t>逸夫科技楼屋顶钢结构飘蓬</w:t>
            </w:r>
          </w:p>
        </w:tc>
        <w:tc>
          <w:tcPr>
            <w:tcW w:w="3300" w:type="dxa"/>
            <w:noWrap w:val="0"/>
            <w:vAlign w:val="top"/>
          </w:tcPr>
          <w:p>
            <w:pPr>
              <w:rPr>
                <w:sz w:val="28"/>
                <w:szCs w:val="28"/>
              </w:rPr>
            </w:pPr>
            <w:r>
              <w:rPr>
                <w:sz w:val="28"/>
                <w:szCs w:val="28"/>
              </w:rPr>
              <w:drawing>
                <wp:inline distT="0" distB="0" distL="114300" distR="114300">
                  <wp:extent cx="1702435" cy="1675765"/>
                  <wp:effectExtent l="0" t="0" r="12065" b="635"/>
                  <wp:docPr id="13" name="图片 8" descr="1629443459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1629443459637.jpg"/>
                          <pic:cNvPicPr>
                            <a:picLocks noChangeAspect="1"/>
                          </pic:cNvPicPr>
                        </pic:nvPicPr>
                        <pic:blipFill>
                          <a:blip r:embed="rId11"/>
                          <a:stretch>
                            <a:fillRect/>
                          </a:stretch>
                        </pic:blipFill>
                        <pic:spPr>
                          <a:xfrm>
                            <a:off x="0" y="0"/>
                            <a:ext cx="1702435" cy="1675765"/>
                          </a:xfrm>
                          <a:prstGeom prst="rect">
                            <a:avLst/>
                          </a:prstGeom>
                          <a:noFill/>
                          <a:ln>
                            <a:noFill/>
                          </a:ln>
                        </pic:spPr>
                      </pic:pic>
                    </a:graphicData>
                  </a:graphic>
                </wp:inline>
              </w:drawing>
            </w:r>
          </w:p>
        </w:tc>
        <w:tc>
          <w:tcPr>
            <w:tcW w:w="1725" w:type="dxa"/>
            <w:noWrap w:val="0"/>
            <w:vAlign w:val="top"/>
          </w:tcPr>
          <w:p>
            <w:pPr>
              <w:rPr>
                <w:sz w:val="24"/>
                <w:szCs w:val="24"/>
              </w:rPr>
            </w:pPr>
            <w:r>
              <w:rPr>
                <w:rFonts w:hint="eastAsia"/>
                <w:sz w:val="24"/>
                <w:szCs w:val="24"/>
              </w:rPr>
              <w:t>投影面积约900平米，最高约25米，有楼梯直达屋顶</w:t>
            </w:r>
          </w:p>
        </w:tc>
        <w:tc>
          <w:tcPr>
            <w:tcW w:w="900" w:type="dxa"/>
            <w:vMerge w:val="continue"/>
            <w:noWrap w:val="0"/>
            <w:vAlign w:val="top"/>
          </w:tcPr>
          <w:p>
            <w:pPr>
              <w:rPr>
                <w:sz w:val="28"/>
                <w:szCs w:val="28"/>
              </w:rPr>
            </w:pPr>
          </w:p>
        </w:tc>
        <w:tc>
          <w:tcPr>
            <w:tcW w:w="2280" w:type="dxa"/>
            <w:vMerge w:val="continue"/>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trPr>
        <w:tc>
          <w:tcPr>
            <w:tcW w:w="600" w:type="dxa"/>
            <w:noWrap w:val="0"/>
            <w:vAlign w:val="top"/>
          </w:tcPr>
          <w:p>
            <w:pPr>
              <w:rPr>
                <w:sz w:val="28"/>
                <w:szCs w:val="28"/>
              </w:rPr>
            </w:pPr>
            <w:r>
              <w:rPr>
                <w:rFonts w:hint="eastAsia"/>
                <w:sz w:val="28"/>
                <w:szCs w:val="28"/>
              </w:rPr>
              <w:t>4</w:t>
            </w:r>
          </w:p>
        </w:tc>
        <w:tc>
          <w:tcPr>
            <w:tcW w:w="915" w:type="dxa"/>
            <w:noWrap w:val="0"/>
            <w:vAlign w:val="top"/>
          </w:tcPr>
          <w:p>
            <w:pPr>
              <w:rPr>
                <w:sz w:val="28"/>
                <w:szCs w:val="28"/>
              </w:rPr>
            </w:pPr>
            <w:r>
              <w:rPr>
                <w:rFonts w:hint="eastAsia"/>
                <w:sz w:val="24"/>
                <w:szCs w:val="24"/>
              </w:rPr>
              <w:t>逸夫科技楼屋顶钢结构雨蓬</w:t>
            </w:r>
          </w:p>
        </w:tc>
        <w:tc>
          <w:tcPr>
            <w:tcW w:w="3300" w:type="dxa"/>
            <w:noWrap w:val="0"/>
            <w:vAlign w:val="top"/>
          </w:tcPr>
          <w:p>
            <w:pPr>
              <w:rPr>
                <w:sz w:val="28"/>
                <w:szCs w:val="28"/>
              </w:rPr>
            </w:pPr>
            <w:r>
              <w:rPr>
                <w:sz w:val="28"/>
                <w:szCs w:val="28"/>
              </w:rPr>
              <w:drawing>
                <wp:inline distT="0" distB="0" distL="114300" distR="114300">
                  <wp:extent cx="1703070" cy="1277620"/>
                  <wp:effectExtent l="0" t="0" r="11430" b="17780"/>
                  <wp:docPr id="14" name="图片 10" descr="1629443459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descr="1629443459659.jpg"/>
                          <pic:cNvPicPr>
                            <a:picLocks noChangeAspect="1"/>
                          </pic:cNvPicPr>
                        </pic:nvPicPr>
                        <pic:blipFill>
                          <a:blip r:embed="rId12"/>
                          <a:stretch>
                            <a:fillRect/>
                          </a:stretch>
                        </pic:blipFill>
                        <pic:spPr>
                          <a:xfrm>
                            <a:off x="0" y="0"/>
                            <a:ext cx="1703070" cy="1277620"/>
                          </a:xfrm>
                          <a:prstGeom prst="rect">
                            <a:avLst/>
                          </a:prstGeom>
                          <a:noFill/>
                          <a:ln>
                            <a:noFill/>
                          </a:ln>
                        </pic:spPr>
                      </pic:pic>
                    </a:graphicData>
                  </a:graphic>
                </wp:inline>
              </w:drawing>
            </w:r>
          </w:p>
        </w:tc>
        <w:tc>
          <w:tcPr>
            <w:tcW w:w="1725" w:type="dxa"/>
            <w:noWrap w:val="0"/>
            <w:vAlign w:val="top"/>
          </w:tcPr>
          <w:p>
            <w:pPr>
              <w:rPr>
                <w:sz w:val="24"/>
                <w:szCs w:val="24"/>
              </w:rPr>
            </w:pPr>
            <w:r>
              <w:rPr>
                <w:rFonts w:hint="eastAsia"/>
                <w:sz w:val="24"/>
                <w:szCs w:val="24"/>
              </w:rPr>
              <w:t>2个钢结构雨棚，其中一个较大，面积约100平米</w:t>
            </w:r>
          </w:p>
        </w:tc>
        <w:tc>
          <w:tcPr>
            <w:tcW w:w="900" w:type="dxa"/>
            <w:vMerge w:val="continue"/>
            <w:noWrap w:val="0"/>
            <w:vAlign w:val="top"/>
          </w:tcPr>
          <w:p>
            <w:pPr>
              <w:rPr>
                <w:sz w:val="28"/>
                <w:szCs w:val="28"/>
              </w:rPr>
            </w:pPr>
          </w:p>
        </w:tc>
        <w:tc>
          <w:tcPr>
            <w:tcW w:w="2280" w:type="dxa"/>
            <w:vMerge w:val="continue"/>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600" w:type="dxa"/>
            <w:noWrap w:val="0"/>
            <w:vAlign w:val="top"/>
          </w:tcPr>
          <w:p>
            <w:pPr>
              <w:rPr>
                <w:sz w:val="28"/>
                <w:szCs w:val="28"/>
              </w:rPr>
            </w:pPr>
            <w:r>
              <w:rPr>
                <w:rFonts w:hint="eastAsia"/>
                <w:sz w:val="28"/>
                <w:szCs w:val="28"/>
              </w:rPr>
              <w:t>5</w:t>
            </w:r>
          </w:p>
        </w:tc>
        <w:tc>
          <w:tcPr>
            <w:tcW w:w="915" w:type="dxa"/>
            <w:noWrap w:val="0"/>
            <w:vAlign w:val="top"/>
          </w:tcPr>
          <w:p>
            <w:pPr>
              <w:rPr>
                <w:sz w:val="28"/>
                <w:szCs w:val="28"/>
              </w:rPr>
            </w:pPr>
            <w:r>
              <w:rPr>
                <w:rFonts w:hint="eastAsia" w:eastAsia="宋体" w:cs="Times New Roman"/>
                <w:sz w:val="24"/>
                <w:szCs w:val="24"/>
              </w:rPr>
              <w:t>南大门网架</w:t>
            </w:r>
          </w:p>
        </w:tc>
        <w:tc>
          <w:tcPr>
            <w:tcW w:w="3300" w:type="dxa"/>
            <w:noWrap w:val="0"/>
            <w:vAlign w:val="top"/>
          </w:tcPr>
          <w:p>
            <w:pPr>
              <w:rPr>
                <w:sz w:val="28"/>
                <w:szCs w:val="28"/>
              </w:rPr>
            </w:pPr>
            <w:r>
              <w:rPr>
                <w:sz w:val="28"/>
                <w:szCs w:val="28"/>
              </w:rPr>
              <w:drawing>
                <wp:inline distT="0" distB="0" distL="114300" distR="114300">
                  <wp:extent cx="1727835" cy="1296670"/>
                  <wp:effectExtent l="0" t="0" r="5715" b="17780"/>
                  <wp:docPr id="15" name="图片 0" descr="1629443459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0" descr="1629443459617.jpg"/>
                          <pic:cNvPicPr>
                            <a:picLocks noChangeAspect="1"/>
                          </pic:cNvPicPr>
                        </pic:nvPicPr>
                        <pic:blipFill>
                          <a:blip r:embed="rId6"/>
                          <a:stretch>
                            <a:fillRect/>
                          </a:stretch>
                        </pic:blipFill>
                        <pic:spPr>
                          <a:xfrm>
                            <a:off x="0" y="0"/>
                            <a:ext cx="1727835" cy="1296670"/>
                          </a:xfrm>
                          <a:prstGeom prst="rect">
                            <a:avLst/>
                          </a:prstGeom>
                          <a:noFill/>
                          <a:ln>
                            <a:noFill/>
                          </a:ln>
                        </pic:spPr>
                      </pic:pic>
                    </a:graphicData>
                  </a:graphic>
                </wp:inline>
              </w:drawing>
            </w:r>
          </w:p>
        </w:tc>
        <w:tc>
          <w:tcPr>
            <w:tcW w:w="1725" w:type="dxa"/>
            <w:noWrap w:val="0"/>
            <w:vAlign w:val="top"/>
          </w:tcPr>
          <w:p>
            <w:pPr>
              <w:rPr>
                <w:sz w:val="24"/>
                <w:szCs w:val="24"/>
              </w:rPr>
            </w:pPr>
            <w:r>
              <w:rPr>
                <w:rFonts w:hint="eastAsia"/>
                <w:sz w:val="24"/>
                <w:szCs w:val="24"/>
              </w:rPr>
              <w:t>约500平米（投影面积）</w:t>
            </w:r>
          </w:p>
        </w:tc>
        <w:tc>
          <w:tcPr>
            <w:tcW w:w="900" w:type="dxa"/>
            <w:vMerge w:val="continue"/>
            <w:noWrap w:val="0"/>
            <w:vAlign w:val="top"/>
          </w:tcPr>
          <w:p>
            <w:pPr>
              <w:rPr>
                <w:sz w:val="28"/>
                <w:szCs w:val="28"/>
              </w:rPr>
            </w:pPr>
          </w:p>
        </w:tc>
        <w:tc>
          <w:tcPr>
            <w:tcW w:w="2280" w:type="dxa"/>
            <w:vMerge w:val="continue"/>
            <w:noWrap w:val="0"/>
            <w:vAlign w:val="top"/>
          </w:tcPr>
          <w:p>
            <w:pPr>
              <w:rPr>
                <w:sz w:val="28"/>
                <w:szCs w:val="28"/>
              </w:rPr>
            </w:pPr>
          </w:p>
        </w:tc>
      </w:tr>
    </w:tbl>
    <w:p>
      <w:pPr>
        <w:rPr>
          <w:sz w:val="28"/>
          <w:szCs w:val="28"/>
        </w:rPr>
      </w:pPr>
    </w:p>
    <w:p>
      <w:pPr>
        <w:autoSpaceDN w:val="0"/>
        <w:rPr>
          <w:rFonts w:hint="eastAsia"/>
          <w:b/>
          <w:bCs/>
          <w:sz w:val="30"/>
          <w:szCs w:val="30"/>
        </w:rPr>
      </w:pPr>
    </w:p>
    <w:p>
      <w:pPr>
        <w:pStyle w:val="44"/>
        <w:spacing w:line="480" w:lineRule="exact"/>
        <w:ind w:left="1280"/>
        <w:rPr>
          <w:rFonts w:hint="eastAsia" w:ascii="宋体" w:hAnsi="宋体"/>
          <w:sz w:val="28"/>
          <w:szCs w:val="28"/>
        </w:rPr>
      </w:pPr>
    </w:p>
    <w:p>
      <w:pPr>
        <w:adjustRightInd w:val="0"/>
        <w:snapToGrid w:val="0"/>
        <w:spacing w:line="500" w:lineRule="exact"/>
        <w:ind w:firstLine="560" w:firstLineChars="200"/>
        <w:rPr>
          <w:rFonts w:hint="eastAsia" w:ascii="仿宋_GB2312" w:eastAsia="仿宋_GB2312"/>
          <w:szCs w:val="28"/>
        </w:rPr>
      </w:pPr>
    </w:p>
    <w:p>
      <w:pPr>
        <w:pStyle w:val="5"/>
        <w:snapToGrid w:val="0"/>
        <w:spacing w:before="0" w:after="0"/>
        <w:ind w:left="0" w:leftChars="0" w:firstLine="0" w:firstLineChars="0"/>
        <w:jc w:val="center"/>
        <w:rPr>
          <w:rFonts w:ascii="楷体" w:hAnsi="楷体" w:eastAsia="楷体"/>
          <w:szCs w:val="28"/>
        </w:rPr>
      </w:pPr>
      <w:bookmarkStart w:id="109" w:name="_Toc49763004"/>
      <w:r>
        <w:rPr>
          <w:rFonts w:hint="eastAsia" w:ascii="华文中宋" w:hAnsi="华文中宋" w:eastAsia="华文中宋"/>
          <w:color w:val="auto"/>
        </w:rPr>
        <w:br w:type="page"/>
      </w:r>
      <w:r>
        <w:rPr>
          <w:rFonts w:hint="eastAsia" w:ascii="华文中宋" w:hAnsi="华文中宋" w:eastAsia="华文中宋"/>
          <w:color w:val="auto"/>
        </w:rPr>
        <w:t>第六章  评分办法和评分细则</w:t>
      </w:r>
      <w:bookmarkEnd w:id="109"/>
    </w:p>
    <w:p>
      <w:pPr>
        <w:pStyle w:val="46"/>
        <w:keepNext w:val="0"/>
        <w:keepLines w:val="0"/>
        <w:pageBreakBefore w:val="0"/>
        <w:widowControl/>
        <w:kinsoku/>
        <w:wordWrap/>
        <w:overflowPunct/>
        <w:topLinePunct w:val="0"/>
        <w:autoSpaceDE/>
        <w:autoSpaceDN/>
        <w:bidi w:val="0"/>
        <w:adjustRightInd/>
        <w:snapToGrid/>
        <w:spacing w:before="157" w:beforeLines="50" w:after="157" w:afterLines="50" w:line="600" w:lineRule="exact"/>
        <w:textAlignment w:val="auto"/>
        <w:rPr>
          <w:rFonts w:ascii="Calibri" w:hAnsi="Calibri" w:eastAsia="宋体" w:cs="Times New Roman"/>
          <w:b/>
          <w:bCs/>
          <w:kern w:val="2"/>
          <w:sz w:val="28"/>
          <w:szCs w:val="28"/>
        </w:rPr>
      </w:pPr>
      <w:bookmarkStart w:id="110" w:name="_Toc49763005"/>
      <w:r>
        <w:rPr>
          <w:rFonts w:hint="eastAsia" w:ascii="Calibri" w:hAnsi="Calibri" w:eastAsia="宋体" w:cs="Times New Roman"/>
          <w:b/>
          <w:bCs/>
          <w:kern w:val="2"/>
          <w:sz w:val="28"/>
          <w:szCs w:val="28"/>
        </w:rPr>
        <w:t xml:space="preserve">一、评审原则 </w:t>
      </w:r>
    </w:p>
    <w:p>
      <w:pPr>
        <w:pStyle w:val="46"/>
        <w:spacing w:line="600" w:lineRule="exact"/>
        <w:ind w:firstLine="560" w:firstLineChars="200"/>
        <w:rPr>
          <w:rFonts w:ascii="Calibri" w:hAnsi="Calibri" w:eastAsia="宋体" w:cs="Times New Roman"/>
          <w:kern w:val="2"/>
          <w:sz w:val="28"/>
          <w:szCs w:val="28"/>
        </w:rPr>
      </w:pPr>
      <w:r>
        <w:rPr>
          <w:rFonts w:hint="eastAsia" w:ascii="Calibri" w:hAnsi="Calibri" w:eastAsia="宋体" w:cs="Times New Roman"/>
          <w:kern w:val="2"/>
          <w:sz w:val="28"/>
          <w:szCs w:val="28"/>
        </w:rPr>
        <w:t>1、合法、合规、公平、公正、科学、审慎、择优原则，</w:t>
      </w:r>
      <w:r>
        <w:rPr>
          <w:rFonts w:ascii="Calibri" w:hAnsi="Calibri" w:eastAsia="宋体" w:cs="Times New Roman"/>
          <w:kern w:val="2"/>
          <w:sz w:val="28"/>
          <w:szCs w:val="28"/>
        </w:rPr>
        <w:t>强调竞争性、客观性，减少机会性、主观性</w:t>
      </w:r>
      <w:r>
        <w:rPr>
          <w:rFonts w:hint="eastAsia" w:ascii="Calibri" w:hAnsi="Calibri" w:eastAsia="宋体" w:cs="Times New Roman"/>
          <w:kern w:val="2"/>
          <w:sz w:val="28"/>
          <w:szCs w:val="28"/>
        </w:rPr>
        <w:t>；</w:t>
      </w:r>
    </w:p>
    <w:p>
      <w:pPr>
        <w:pStyle w:val="46"/>
        <w:spacing w:line="600" w:lineRule="exact"/>
        <w:ind w:firstLine="560" w:firstLineChars="200"/>
        <w:rPr>
          <w:rFonts w:ascii="Calibri" w:hAnsi="Calibri" w:eastAsia="宋体" w:cs="Times New Roman"/>
          <w:kern w:val="2"/>
          <w:sz w:val="28"/>
          <w:szCs w:val="28"/>
        </w:rPr>
      </w:pPr>
      <w:r>
        <w:rPr>
          <w:rFonts w:hint="eastAsia" w:ascii="Calibri" w:hAnsi="Calibri" w:eastAsia="宋体" w:cs="Times New Roman"/>
          <w:kern w:val="2"/>
          <w:sz w:val="28"/>
          <w:szCs w:val="28"/>
        </w:rPr>
        <w:t>2、要求投标单位</w:t>
      </w:r>
      <w:r>
        <w:rPr>
          <w:rFonts w:ascii="Calibri" w:hAnsi="Calibri" w:eastAsia="宋体" w:cs="Times New Roman"/>
          <w:kern w:val="2"/>
          <w:sz w:val="28"/>
          <w:szCs w:val="28"/>
        </w:rPr>
        <w:t>最大限度地满足招标文件或招标公告的各项实质性要求</w:t>
      </w:r>
      <w:r>
        <w:rPr>
          <w:rFonts w:hint="eastAsia" w:ascii="Calibri" w:hAnsi="Calibri" w:eastAsia="宋体" w:cs="Times New Roman"/>
          <w:kern w:val="2"/>
          <w:sz w:val="28"/>
          <w:szCs w:val="28"/>
        </w:rPr>
        <w:t>；</w:t>
      </w:r>
    </w:p>
    <w:p>
      <w:pPr>
        <w:pStyle w:val="46"/>
        <w:spacing w:line="600" w:lineRule="exact"/>
        <w:ind w:firstLine="560" w:firstLineChars="200"/>
        <w:rPr>
          <w:rFonts w:ascii="Calibri" w:hAnsi="Calibri" w:eastAsia="宋体" w:cs="Times New Roman"/>
          <w:kern w:val="2"/>
          <w:sz w:val="28"/>
          <w:szCs w:val="28"/>
        </w:rPr>
      </w:pPr>
      <w:r>
        <w:rPr>
          <w:rFonts w:hint="eastAsia" w:ascii="Calibri" w:hAnsi="Calibri" w:eastAsia="宋体" w:cs="Times New Roman"/>
          <w:kern w:val="2"/>
          <w:sz w:val="28"/>
          <w:szCs w:val="28"/>
        </w:rPr>
        <w:t>3、评标方式：本次评标采用综合评分法。</w:t>
      </w:r>
    </w:p>
    <w:p>
      <w:pPr>
        <w:pStyle w:val="46"/>
        <w:keepNext w:val="0"/>
        <w:keepLines w:val="0"/>
        <w:pageBreakBefore w:val="0"/>
        <w:widowControl/>
        <w:kinsoku/>
        <w:wordWrap/>
        <w:overflowPunct/>
        <w:topLinePunct w:val="0"/>
        <w:autoSpaceDE/>
        <w:autoSpaceDN/>
        <w:bidi w:val="0"/>
        <w:adjustRightInd/>
        <w:snapToGrid/>
        <w:spacing w:before="157" w:beforeLines="50" w:after="157" w:afterLines="50" w:line="600" w:lineRule="exact"/>
        <w:textAlignment w:val="auto"/>
        <w:rPr>
          <w:rFonts w:hint="eastAsia" w:ascii="Calibri" w:hAnsi="Calibri" w:eastAsia="宋体" w:cs="Times New Roman"/>
          <w:b/>
          <w:bCs/>
          <w:kern w:val="2"/>
          <w:sz w:val="28"/>
          <w:szCs w:val="28"/>
        </w:rPr>
      </w:pPr>
      <w:r>
        <w:rPr>
          <w:rFonts w:hint="eastAsia" w:ascii="Calibri" w:hAnsi="Calibri" w:eastAsia="宋体" w:cs="Times New Roman"/>
          <w:b/>
          <w:bCs/>
          <w:kern w:val="2"/>
          <w:sz w:val="28"/>
          <w:szCs w:val="28"/>
        </w:rPr>
        <w:t>二、评审内容及分值分配（满分100分）</w:t>
      </w:r>
    </w:p>
    <w:tbl>
      <w:tblPr>
        <w:tblStyle w:val="27"/>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983"/>
        <w:gridCol w:w="6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2389" w:type="dxa"/>
            <w:gridSpan w:val="2"/>
            <w:tcBorders>
              <w:top w:val="single" w:color="auto" w:sz="4" w:space="0"/>
              <w:left w:val="single" w:color="auto" w:sz="4" w:space="0"/>
              <w:bottom w:val="single" w:color="auto" w:sz="4" w:space="0"/>
              <w:right w:val="single" w:color="auto" w:sz="4" w:space="0"/>
            </w:tcBorders>
            <w:noWrap w:val="0"/>
            <w:vAlign w:val="center"/>
          </w:tcPr>
          <w:p>
            <w:pPr>
              <w:rPr>
                <w:b/>
                <w:bCs/>
                <w:sz w:val="24"/>
                <w:szCs w:val="24"/>
              </w:rPr>
            </w:pPr>
            <w:r>
              <w:rPr>
                <w:rFonts w:hint="eastAsia"/>
                <w:b/>
                <w:bCs/>
                <w:sz w:val="24"/>
                <w:szCs w:val="24"/>
              </w:rPr>
              <w:t>报价</w:t>
            </w:r>
          </w:p>
          <w:p>
            <w:pPr>
              <w:rPr>
                <w:sz w:val="24"/>
                <w:szCs w:val="24"/>
              </w:rPr>
            </w:pPr>
            <w:r>
              <w:rPr>
                <w:rFonts w:hint="eastAsia"/>
                <w:b/>
                <w:bCs/>
                <w:sz w:val="24"/>
                <w:szCs w:val="24"/>
                <w:lang w:val="en-US" w:eastAsia="zh-CN"/>
              </w:rPr>
              <w:t>65</w:t>
            </w:r>
            <w:r>
              <w:rPr>
                <w:rFonts w:hint="eastAsia"/>
                <w:b/>
                <w:bCs/>
                <w:sz w:val="24"/>
                <w:szCs w:val="24"/>
              </w:rPr>
              <w:t xml:space="preserve">分 </w:t>
            </w:r>
          </w:p>
        </w:tc>
        <w:tc>
          <w:tcPr>
            <w:tcW w:w="6767" w:type="dxa"/>
            <w:tcBorders>
              <w:top w:val="single" w:color="auto" w:sz="4" w:space="0"/>
              <w:left w:val="single" w:color="auto" w:sz="4" w:space="0"/>
              <w:bottom w:val="single" w:color="auto" w:sz="4" w:space="0"/>
              <w:right w:val="single" w:color="auto" w:sz="4" w:space="0"/>
            </w:tcBorders>
            <w:noWrap w:val="0"/>
            <w:vAlign w:val="center"/>
          </w:tcPr>
          <w:p>
            <w:pPr>
              <w:pStyle w:val="46"/>
              <w:spacing w:line="600" w:lineRule="exact"/>
              <w:rPr>
                <w:rFonts w:ascii="Calibri" w:hAnsi="Calibri" w:eastAsia="宋体" w:cs="Times New Roman"/>
                <w:kern w:val="2"/>
                <w:sz w:val="24"/>
                <w:szCs w:val="24"/>
              </w:rPr>
            </w:pPr>
            <w:r>
              <w:rPr>
                <w:rFonts w:hint="eastAsia" w:ascii="Calibri" w:hAnsi="Calibri" w:eastAsia="宋体" w:cs="Times New Roman"/>
                <w:kern w:val="2"/>
                <w:sz w:val="24"/>
                <w:szCs w:val="24"/>
              </w:rPr>
              <w:t>1）评标基准价的确定。有效投标单位为在10家以内（含）的，各投标单位报价平均值作为基准分（65分）；超过10家的，去掉二个最高报价和二个最低报价，其余各投标单位报价平均值作为基准分（65分）。无效响应的供应商报价不参与评标基准价计算。</w:t>
            </w:r>
          </w:p>
          <w:p>
            <w:pPr>
              <w:pStyle w:val="46"/>
              <w:spacing w:line="600" w:lineRule="exact"/>
              <w:rPr>
                <w:rFonts w:ascii="Calibri" w:hAnsi="Calibri" w:eastAsia="宋体" w:cs="Times New Roman"/>
                <w:kern w:val="2"/>
                <w:sz w:val="24"/>
                <w:szCs w:val="24"/>
              </w:rPr>
            </w:pPr>
            <w:r>
              <w:rPr>
                <w:rFonts w:hint="eastAsia" w:ascii="Calibri" w:hAnsi="Calibri" w:eastAsia="宋体" w:cs="Times New Roman"/>
                <w:kern w:val="2"/>
                <w:sz w:val="24"/>
                <w:szCs w:val="24"/>
              </w:rPr>
              <w:t>2）报价得分的确定。报价得分＝基准分－|(投标人报价－平均报价）／平均报价|X 100 X B；（报价得分保留2位小数）</w:t>
            </w:r>
          </w:p>
          <w:p>
            <w:pPr>
              <w:pStyle w:val="46"/>
              <w:spacing w:line="600" w:lineRule="exact"/>
              <w:rPr>
                <w:rFonts w:ascii="Calibri" w:hAnsi="Calibri" w:eastAsia="宋体" w:cs="Times New Roman"/>
                <w:kern w:val="2"/>
                <w:sz w:val="24"/>
                <w:szCs w:val="24"/>
              </w:rPr>
            </w:pPr>
            <w:r>
              <w:rPr>
                <w:rFonts w:hint="eastAsia" w:ascii="Calibri" w:hAnsi="Calibri" w:eastAsia="宋体" w:cs="Times New Roman"/>
                <w:kern w:val="2"/>
                <w:sz w:val="24"/>
                <w:szCs w:val="24"/>
              </w:rPr>
              <w:t>B取值方式为：当投标人报价高于平均报价时，B取值为2；当投标人报价低于平均报价时，B取值为1。</w:t>
            </w: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406" w:type="dxa"/>
            <w:vMerge w:val="restart"/>
            <w:tcBorders>
              <w:top w:val="single" w:color="auto" w:sz="4" w:space="0"/>
              <w:left w:val="single" w:color="auto" w:sz="4" w:space="0"/>
              <w:right w:val="single" w:color="auto" w:sz="4" w:space="0"/>
            </w:tcBorders>
            <w:noWrap w:val="0"/>
            <w:vAlign w:val="center"/>
          </w:tcPr>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sz w:val="24"/>
                <w:szCs w:val="24"/>
              </w:rPr>
            </w:pPr>
            <w:r>
              <w:rPr>
                <w:rFonts w:hint="eastAsia" w:ascii="Calibri" w:hAnsi="Calibri" w:eastAsia="宋体" w:cs="Times New Roman"/>
                <w:b/>
                <w:bCs/>
                <w:kern w:val="2"/>
                <w:sz w:val="24"/>
                <w:szCs w:val="24"/>
              </w:rPr>
              <w:t>技术标部分 35分</w:t>
            </w:r>
          </w:p>
        </w:tc>
        <w:tc>
          <w:tcPr>
            <w:tcW w:w="983" w:type="dxa"/>
            <w:tcBorders>
              <w:top w:val="single" w:color="auto" w:sz="4" w:space="0"/>
              <w:left w:val="single" w:color="auto" w:sz="4" w:space="0"/>
              <w:bottom w:val="single" w:color="auto" w:sz="4" w:space="0"/>
              <w:right w:val="single" w:color="auto" w:sz="4" w:space="0"/>
            </w:tcBorders>
            <w:noWrap w:val="0"/>
            <w:vAlign w:val="center"/>
          </w:tcPr>
          <w:p>
            <w:pPr>
              <w:rPr>
                <w:sz w:val="24"/>
                <w:szCs w:val="24"/>
              </w:rPr>
            </w:pPr>
            <w:r>
              <w:rPr>
                <w:rFonts w:hint="eastAsia" w:ascii="Calibri" w:hAnsi="Calibri" w:eastAsia="宋体" w:cs="Times New Roman"/>
                <w:b/>
                <w:kern w:val="2"/>
                <w:sz w:val="24"/>
                <w:szCs w:val="24"/>
              </w:rPr>
              <w:t>服务方案    21分</w:t>
            </w:r>
          </w:p>
        </w:tc>
        <w:tc>
          <w:tcPr>
            <w:tcW w:w="6767" w:type="dxa"/>
            <w:tcBorders>
              <w:top w:val="single" w:color="auto" w:sz="4" w:space="0"/>
              <w:left w:val="single" w:color="auto" w:sz="4" w:space="0"/>
              <w:bottom w:val="single" w:color="auto" w:sz="4" w:space="0"/>
              <w:right w:val="single" w:color="auto" w:sz="4" w:space="0"/>
            </w:tcBorders>
            <w:noWrap w:val="0"/>
            <w:vAlign w:val="center"/>
          </w:tcPr>
          <w:p>
            <w:pPr>
              <w:pStyle w:val="46"/>
              <w:spacing w:line="600" w:lineRule="exact"/>
              <w:rPr>
                <w:rFonts w:ascii="Calibri" w:hAnsi="Calibri" w:eastAsia="宋体" w:cs="Times New Roman"/>
                <w:kern w:val="2"/>
                <w:sz w:val="24"/>
                <w:szCs w:val="24"/>
              </w:rPr>
            </w:pPr>
            <w:r>
              <w:rPr>
                <w:rFonts w:hint="eastAsia" w:ascii="Calibri" w:hAnsi="Calibri" w:eastAsia="宋体" w:cs="Times New Roman"/>
                <w:b/>
                <w:kern w:val="2"/>
                <w:sz w:val="24"/>
                <w:szCs w:val="24"/>
              </w:rPr>
              <w:t>1）、人员配置 ：3分</w:t>
            </w:r>
            <w:r>
              <w:rPr>
                <w:rFonts w:hint="eastAsia" w:cs="Times New Roman"/>
                <w:b/>
                <w:kern w:val="2"/>
                <w:sz w:val="24"/>
                <w:szCs w:val="24"/>
                <w:lang w:eastAsia="zh-CN"/>
              </w:rPr>
              <w:t>。</w:t>
            </w:r>
            <w:r>
              <w:rPr>
                <w:rFonts w:hint="eastAsia" w:ascii="Calibri" w:hAnsi="Calibri" w:eastAsia="宋体" w:cs="Times New Roman"/>
                <w:kern w:val="2"/>
                <w:sz w:val="24"/>
                <w:szCs w:val="24"/>
              </w:rPr>
              <w:t>满足以下项目小组成员条件的得满分,否则不得分</w:t>
            </w:r>
            <w:r>
              <w:rPr>
                <w:rFonts w:hint="eastAsia" w:cs="Times New Roman"/>
                <w:kern w:val="2"/>
                <w:sz w:val="24"/>
                <w:szCs w:val="24"/>
                <w:lang w:eastAsia="zh-CN"/>
              </w:rPr>
              <w:t>。</w:t>
            </w:r>
            <w:r>
              <w:rPr>
                <w:rFonts w:hint="eastAsia" w:ascii="Calibri" w:hAnsi="Calibri" w:eastAsia="宋体" w:cs="Times New Roman"/>
                <w:kern w:val="2"/>
                <w:sz w:val="24"/>
                <w:szCs w:val="24"/>
              </w:rPr>
              <w:t>(1)、项目负责人（1名），满足条件1分；不满足，不得分。须具有高级及以上职称，且具有省级及以上建设行政主管部门颁发的检测人员岗位资格证书。(2)、结构验算人员（至少2名），满足条件1分；不满足，不得分。须具有中级及以上职称，且具有注册结构工程师证书。(3)、试验检测员（至少2名），满足条件1分；不满足，不得分。具有建设主管部门颁发的检测人员岗位资格证书。</w:t>
            </w:r>
          </w:p>
          <w:p>
            <w:pPr>
              <w:pStyle w:val="46"/>
              <w:spacing w:line="600" w:lineRule="exact"/>
              <w:rPr>
                <w:rFonts w:hint="eastAsia" w:ascii="Calibri" w:hAnsi="Calibri" w:eastAsia="宋体" w:cs="Times New Roman"/>
                <w:b/>
                <w:kern w:val="2"/>
                <w:sz w:val="24"/>
                <w:szCs w:val="24"/>
                <w:lang w:eastAsia="zh-CN"/>
              </w:rPr>
            </w:pPr>
            <w:r>
              <w:rPr>
                <w:rFonts w:hint="eastAsia" w:ascii="Calibri" w:hAnsi="Calibri" w:eastAsia="宋体" w:cs="Times New Roman"/>
                <w:b/>
                <w:color w:val="000000"/>
                <w:kern w:val="2"/>
                <w:sz w:val="24"/>
                <w:szCs w:val="24"/>
              </w:rPr>
              <w:t>2）、各项工作计划、工作程序流程、进度控制措施设置 ：</w:t>
            </w:r>
            <w:r>
              <w:rPr>
                <w:rFonts w:hint="eastAsia" w:ascii="Calibri" w:hAnsi="Calibri" w:eastAsia="宋体" w:cs="Times New Roman"/>
                <w:b/>
                <w:kern w:val="2"/>
                <w:sz w:val="24"/>
                <w:szCs w:val="24"/>
              </w:rPr>
              <w:t>5分</w:t>
            </w:r>
            <w:r>
              <w:rPr>
                <w:rFonts w:hint="eastAsia" w:cs="Times New Roman"/>
                <w:b/>
                <w:kern w:val="2"/>
                <w:sz w:val="24"/>
                <w:szCs w:val="24"/>
                <w:lang w:eastAsia="zh-CN"/>
              </w:rPr>
              <w:t>。</w:t>
            </w:r>
          </w:p>
          <w:p>
            <w:pPr>
              <w:pStyle w:val="46"/>
              <w:spacing w:line="600" w:lineRule="exact"/>
              <w:rPr>
                <w:rFonts w:hint="eastAsia" w:ascii="Calibri" w:hAnsi="Calibri" w:eastAsia="宋体" w:cs="Times New Roman"/>
                <w:b/>
                <w:kern w:val="2"/>
                <w:sz w:val="24"/>
                <w:szCs w:val="24"/>
                <w:lang w:eastAsia="zh-CN"/>
              </w:rPr>
            </w:pPr>
            <w:r>
              <w:rPr>
                <w:rFonts w:hint="eastAsia" w:ascii="Calibri" w:hAnsi="Calibri" w:eastAsia="宋体" w:cs="Times New Roman"/>
                <w:b/>
                <w:kern w:val="2"/>
                <w:sz w:val="24"/>
                <w:szCs w:val="24"/>
              </w:rPr>
              <w:t>3）、服务规范及服务质量保障措施：5分</w:t>
            </w:r>
            <w:r>
              <w:rPr>
                <w:rFonts w:hint="eastAsia" w:cs="Times New Roman"/>
                <w:b/>
                <w:kern w:val="2"/>
                <w:sz w:val="24"/>
                <w:szCs w:val="24"/>
                <w:lang w:eastAsia="zh-CN"/>
              </w:rPr>
              <w:t>。</w:t>
            </w:r>
          </w:p>
          <w:p>
            <w:pPr>
              <w:pStyle w:val="46"/>
              <w:spacing w:line="600" w:lineRule="exact"/>
              <w:rPr>
                <w:sz w:val="24"/>
                <w:szCs w:val="24"/>
              </w:rPr>
            </w:pPr>
            <w:r>
              <w:rPr>
                <w:rFonts w:hint="eastAsia" w:ascii="Calibri" w:hAnsi="Calibri" w:eastAsia="宋体" w:cs="Times New Roman"/>
                <w:b/>
                <w:kern w:val="2"/>
                <w:sz w:val="24"/>
                <w:szCs w:val="24"/>
              </w:rPr>
              <w:t>4）、安全保障措施：8分</w:t>
            </w:r>
            <w:r>
              <w:rPr>
                <w:rFonts w:hint="eastAsia" w:cs="Times New Roman"/>
                <w:b/>
                <w:kern w:val="2"/>
                <w:sz w:val="24"/>
                <w:szCs w:val="24"/>
                <w:lang w:eastAsia="zh-CN"/>
              </w:rPr>
              <w:t>。</w:t>
            </w:r>
            <w:r>
              <w:rPr>
                <w:rFonts w:hint="eastAsia" w:ascii="Calibri" w:hAnsi="Calibri" w:eastAsia="宋体" w:cs="Times New Roman"/>
                <w:kern w:val="2"/>
                <w:sz w:val="24"/>
                <w:szCs w:val="24"/>
              </w:rPr>
              <w:t>本项目大部分作业面为高空作业，其中，南门网架、逸夫科技楼两个钢雨棚需要登高车进行作业，风雨操场网架屋面无检修通道，屋面最高处约23米，最低处约15米，且登高车无法进入，可采取蜘蛛人或脚手架或其他可行的方式进行登高作业，中标人应根据以上实际情况踏勘现场，制定详细的安全作业细则，要求描述详尽，方案科学，合理，责任明确。重点针对风雨操场网架屋面，且要有安全责任承诺书，无安全责任承诺书的，该项最多只能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jc w:val="center"/>
        </w:trPr>
        <w:tc>
          <w:tcPr>
            <w:tcW w:w="1406" w:type="dxa"/>
            <w:vMerge w:val="continue"/>
            <w:tcBorders>
              <w:left w:val="single" w:color="auto" w:sz="4" w:space="0"/>
              <w:right w:val="single" w:color="auto" w:sz="4" w:space="0"/>
            </w:tcBorders>
            <w:noWrap w:val="0"/>
            <w:vAlign w:val="center"/>
          </w:tcPr>
          <w:p>
            <w:pPr>
              <w:rPr>
                <w:sz w:val="24"/>
                <w:szCs w:val="24"/>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rPr>
                <w:sz w:val="24"/>
                <w:szCs w:val="24"/>
              </w:rPr>
            </w:pPr>
            <w:r>
              <w:rPr>
                <w:rFonts w:hint="eastAsia" w:ascii="Calibri" w:hAnsi="Calibri" w:cs="Times New Roman"/>
                <w:b/>
                <w:kern w:val="2"/>
                <w:sz w:val="24"/>
                <w:szCs w:val="24"/>
                <w:lang w:eastAsia="zh-CN"/>
              </w:rPr>
              <w:t>视频</w:t>
            </w:r>
            <w:r>
              <w:rPr>
                <w:rFonts w:hint="eastAsia" w:ascii="Calibri" w:hAnsi="Calibri" w:eastAsia="宋体" w:cs="Times New Roman"/>
                <w:b/>
                <w:kern w:val="2"/>
                <w:sz w:val="24"/>
                <w:szCs w:val="24"/>
              </w:rPr>
              <w:t>踏勘                          4分</w:t>
            </w:r>
          </w:p>
        </w:tc>
        <w:tc>
          <w:tcPr>
            <w:tcW w:w="6767" w:type="dxa"/>
            <w:tcBorders>
              <w:top w:val="single" w:color="auto" w:sz="4" w:space="0"/>
              <w:left w:val="single" w:color="auto" w:sz="4" w:space="0"/>
              <w:bottom w:val="single" w:color="auto" w:sz="4" w:space="0"/>
              <w:right w:val="single" w:color="auto" w:sz="4" w:space="0"/>
            </w:tcBorders>
            <w:noWrap w:val="0"/>
            <w:vAlign w:val="center"/>
          </w:tcPr>
          <w:p>
            <w:pPr>
              <w:spacing w:line="480" w:lineRule="auto"/>
              <w:ind w:firstLine="480" w:firstLineChars="200"/>
              <w:rPr>
                <w:sz w:val="24"/>
                <w:szCs w:val="24"/>
              </w:rPr>
            </w:pPr>
            <w:r>
              <w:rPr>
                <w:rFonts w:hint="eastAsia" w:ascii="Calibri" w:hAnsi="Calibri" w:eastAsia="宋体" w:cs="Times New Roman"/>
                <w:kern w:val="2"/>
                <w:sz w:val="24"/>
                <w:szCs w:val="24"/>
                <w:lang w:val="en-US" w:eastAsia="zh-CN" w:bidi="ar-SA"/>
              </w:rPr>
              <w:t>各投标单位书面承诺：观看了踏勘视频并充分理解了项目的重点及难点，并综合考虑措施费、不可预见费等等方面因素进行报价。有以上书面承诺的，统一给4分；没有书面承诺的，不给分；书面承诺内容不全面的，酌情减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406" w:type="dxa"/>
            <w:vMerge w:val="continue"/>
            <w:tcBorders>
              <w:left w:val="single" w:color="auto" w:sz="4" w:space="0"/>
              <w:right w:val="single" w:color="auto" w:sz="4" w:space="0"/>
            </w:tcBorders>
            <w:noWrap w:val="0"/>
            <w:vAlign w:val="center"/>
          </w:tcPr>
          <w:p>
            <w:pPr>
              <w:rPr>
                <w:sz w:val="24"/>
                <w:szCs w:val="24"/>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pStyle w:val="46"/>
              <w:spacing w:line="600" w:lineRule="exact"/>
              <w:rPr>
                <w:rFonts w:ascii="Calibri" w:hAnsi="Calibri" w:eastAsia="宋体" w:cs="Times New Roman"/>
                <w:b/>
                <w:kern w:val="2"/>
                <w:sz w:val="24"/>
                <w:szCs w:val="24"/>
              </w:rPr>
            </w:pPr>
            <w:r>
              <w:rPr>
                <w:rFonts w:hint="eastAsia" w:ascii="Calibri" w:hAnsi="Calibri" w:eastAsia="宋体" w:cs="Times New Roman"/>
                <w:b/>
                <w:kern w:val="2"/>
                <w:sz w:val="24"/>
                <w:szCs w:val="24"/>
              </w:rPr>
              <w:t>投标人的业绩                        10分</w:t>
            </w:r>
          </w:p>
          <w:p>
            <w:pPr>
              <w:rPr>
                <w:sz w:val="24"/>
                <w:szCs w:val="24"/>
              </w:rPr>
            </w:pPr>
          </w:p>
        </w:tc>
        <w:tc>
          <w:tcPr>
            <w:tcW w:w="6767" w:type="dxa"/>
            <w:tcBorders>
              <w:top w:val="single" w:color="auto" w:sz="4" w:space="0"/>
              <w:left w:val="single" w:color="auto" w:sz="4" w:space="0"/>
              <w:bottom w:val="single" w:color="auto" w:sz="4" w:space="0"/>
              <w:right w:val="single" w:color="auto" w:sz="4" w:space="0"/>
            </w:tcBorders>
            <w:noWrap w:val="0"/>
            <w:vAlign w:val="center"/>
          </w:tcPr>
          <w:p>
            <w:pPr>
              <w:pStyle w:val="46"/>
              <w:spacing w:line="600" w:lineRule="exact"/>
              <w:ind w:firstLine="480" w:firstLineChars="200"/>
              <w:rPr>
                <w:rFonts w:ascii="Calibri" w:hAnsi="Calibri" w:eastAsia="宋体" w:cs="Times New Roman"/>
                <w:kern w:val="2"/>
                <w:sz w:val="24"/>
                <w:szCs w:val="24"/>
              </w:rPr>
            </w:pPr>
            <w:r>
              <w:rPr>
                <w:rFonts w:hint="eastAsia" w:ascii="Calibri" w:hAnsi="Calibri" w:eastAsia="宋体" w:cs="Times New Roman"/>
                <w:kern w:val="2"/>
                <w:sz w:val="24"/>
                <w:szCs w:val="24"/>
              </w:rPr>
              <w:t>2019年1月1日以来（以合同签订时间为准），投标人具有1个单个合同金额不少于20万元的建构筑物安全性鉴定（或安全评估）项目业绩的，得2分，每多提供1个上述业绩得2分，满分10分。</w:t>
            </w:r>
          </w:p>
          <w:p>
            <w:pPr>
              <w:pStyle w:val="46"/>
              <w:spacing w:line="600" w:lineRule="exact"/>
              <w:rPr>
                <w:rFonts w:ascii="Calibri" w:hAnsi="Calibri" w:eastAsia="宋体" w:cs="Times New Roman"/>
                <w:kern w:val="2"/>
                <w:sz w:val="24"/>
                <w:szCs w:val="24"/>
              </w:rPr>
            </w:pPr>
            <w:r>
              <w:rPr>
                <w:rFonts w:hint="eastAsia" w:ascii="Calibri" w:hAnsi="Calibri" w:eastAsia="宋体" w:cs="Times New Roman"/>
                <w:kern w:val="2"/>
                <w:sz w:val="24"/>
                <w:szCs w:val="24"/>
              </w:rPr>
              <w:t>注：投标文件中须提供投标人须知前附表要求的业绩证明材料复印件。（以服务合同为准，复印件应能辨识买卖双方公章、签订时间、金额，复印件须加盖投标人公章；否则，不得分）</w:t>
            </w:r>
          </w:p>
          <w:p>
            <w:pPr>
              <w:rPr>
                <w:sz w:val="24"/>
                <w:szCs w:val="24"/>
              </w:rPr>
            </w:pPr>
          </w:p>
        </w:tc>
      </w:tr>
    </w:tbl>
    <w:p>
      <w:pPr>
        <w:pStyle w:val="46"/>
        <w:spacing w:line="600" w:lineRule="exact"/>
        <w:rPr>
          <w:rFonts w:ascii="Calibri" w:hAnsi="Calibri" w:eastAsia="宋体" w:cs="Times New Roman"/>
          <w:kern w:val="2"/>
          <w:sz w:val="28"/>
          <w:szCs w:val="28"/>
        </w:rPr>
      </w:pPr>
    </w:p>
    <w:p>
      <w:pPr>
        <w:jc w:val="center"/>
        <w:rPr>
          <w:rFonts w:hint="eastAsia" w:ascii="华文中宋" w:hAnsi="华文中宋" w:eastAsia="华文中宋"/>
          <w:b/>
          <w:sz w:val="36"/>
          <w:szCs w:val="36"/>
        </w:rPr>
      </w:pPr>
      <w:r>
        <w:rPr>
          <w:rFonts w:hint="eastAsia"/>
        </w:rPr>
        <w:br w:type="page"/>
      </w:r>
      <w:r>
        <w:rPr>
          <w:rFonts w:hint="eastAsia" w:ascii="华文中宋" w:hAnsi="华文中宋" w:eastAsia="华文中宋"/>
          <w:b/>
          <w:sz w:val="36"/>
          <w:szCs w:val="36"/>
        </w:rPr>
        <w:t xml:space="preserve">第七章  </w:t>
      </w:r>
      <w:bookmarkStart w:id="111" w:name="_Toc403987220"/>
      <w:r>
        <w:rPr>
          <w:rFonts w:hint="eastAsia" w:ascii="华文中宋" w:hAnsi="华文中宋" w:eastAsia="华文中宋"/>
          <w:b/>
          <w:sz w:val="36"/>
          <w:szCs w:val="36"/>
        </w:rPr>
        <w:t>响应文件格式</w:t>
      </w:r>
      <w:bookmarkEnd w:id="110"/>
      <w:bookmarkEnd w:id="111"/>
    </w:p>
    <w:p>
      <w:pPr>
        <w:jc w:val="center"/>
        <w:rPr>
          <w:rFonts w:hAnsi="宋体"/>
          <w:b/>
          <w:sz w:val="72"/>
        </w:rPr>
      </w:pPr>
      <w:bookmarkStart w:id="112" w:name="_Hlt26671244"/>
      <w:bookmarkEnd w:id="112"/>
      <w:bookmarkStart w:id="113" w:name="_Hlt26955039"/>
      <w:bookmarkEnd w:id="113"/>
      <w:bookmarkStart w:id="114" w:name="_Toc26554094"/>
      <w:bookmarkStart w:id="115" w:name="_Toc120614282"/>
      <w:bookmarkStart w:id="116" w:name="_Toc49090576"/>
    </w:p>
    <w:p>
      <w:pPr>
        <w:jc w:val="center"/>
        <w:rPr>
          <w:rFonts w:hAnsi="宋体"/>
          <w:b/>
          <w:sz w:val="72"/>
        </w:rPr>
      </w:pPr>
      <w:r>
        <w:rPr>
          <w:rFonts w:hint="eastAsia" w:hAnsi="宋体"/>
          <w:b/>
          <w:sz w:val="72"/>
        </w:rPr>
        <w:t>响  应  文  件</w:t>
      </w:r>
    </w:p>
    <w:p>
      <w:pPr>
        <w:jc w:val="center"/>
        <w:rPr>
          <w:rFonts w:hAnsi="宋体"/>
          <w:b/>
          <w:sz w:val="44"/>
          <w:szCs w:val="44"/>
        </w:rPr>
      </w:pPr>
    </w:p>
    <w:p>
      <w:pPr>
        <w:jc w:val="center"/>
        <w:rPr>
          <w:rFonts w:hAnsi="宋体"/>
          <w:b/>
          <w:sz w:val="36"/>
        </w:rPr>
      </w:pPr>
    </w:p>
    <w:p>
      <w:pPr>
        <w:jc w:val="center"/>
        <w:rPr>
          <w:rFonts w:hAnsi="宋体"/>
          <w:b/>
          <w:sz w:val="36"/>
        </w:rPr>
      </w:pPr>
    </w:p>
    <w:p>
      <w:pPr>
        <w:jc w:val="center"/>
        <w:rPr>
          <w:rFonts w:hAnsi="宋体"/>
          <w:b/>
          <w:sz w:val="36"/>
        </w:rPr>
      </w:pPr>
    </w:p>
    <w:p>
      <w:pPr>
        <w:ind w:left="1016" w:firstLine="1084" w:firstLineChars="300"/>
        <w:rPr>
          <w:rFonts w:hAnsi="宋体"/>
          <w:b/>
          <w:sz w:val="36"/>
        </w:rPr>
      </w:pPr>
      <w:r>
        <w:rPr>
          <w:rFonts w:hint="eastAsia" w:hAnsi="宋体"/>
          <w:b/>
          <w:sz w:val="36"/>
        </w:rPr>
        <w:t>项 目 名 称：</w:t>
      </w:r>
      <w:r>
        <w:rPr>
          <w:rFonts w:hint="eastAsia" w:hAnsi="宋体"/>
          <w:b/>
          <w:sz w:val="36"/>
          <w:u w:val="single"/>
        </w:rPr>
        <w:t xml:space="preserve">               </w:t>
      </w:r>
    </w:p>
    <w:p>
      <w:pPr>
        <w:ind w:left="1016" w:firstLine="1084" w:firstLineChars="300"/>
        <w:rPr>
          <w:rFonts w:hAnsi="宋体"/>
          <w:b/>
          <w:sz w:val="36"/>
          <w:u w:val="single"/>
        </w:rPr>
      </w:pPr>
      <w:r>
        <w:rPr>
          <w:rFonts w:hint="eastAsia" w:hAnsi="宋体"/>
          <w:b/>
          <w:sz w:val="36"/>
        </w:rPr>
        <w:t>项 目 编 号：</w:t>
      </w:r>
      <w:r>
        <w:rPr>
          <w:rFonts w:hint="eastAsia" w:hAnsi="宋体"/>
          <w:b/>
          <w:sz w:val="36"/>
          <w:u w:val="single"/>
        </w:rPr>
        <w:t xml:space="preserve">               </w:t>
      </w:r>
    </w:p>
    <w:p>
      <w:pPr>
        <w:ind w:left="1680" w:firstLine="420"/>
        <w:rPr>
          <w:rFonts w:hAnsi="宋体"/>
          <w:b/>
          <w:sz w:val="36"/>
          <w:u w:val="single"/>
        </w:rPr>
      </w:pPr>
      <w:r>
        <w:rPr>
          <w:rFonts w:hint="eastAsia" w:hAnsi="宋体"/>
          <w:b/>
          <w:sz w:val="36"/>
        </w:rPr>
        <w:t>供应商名称 ：</w:t>
      </w:r>
      <w:r>
        <w:rPr>
          <w:rFonts w:hint="eastAsia" w:hAnsi="宋体"/>
          <w:b/>
          <w:sz w:val="36"/>
          <w:u w:val="single"/>
        </w:rPr>
        <w:t xml:space="preserve">               </w:t>
      </w:r>
      <w:r>
        <w:rPr>
          <w:rFonts w:hint="eastAsia" w:hAnsi="宋体"/>
          <w:b/>
          <w:sz w:val="36"/>
          <w:u w:val="none"/>
        </w:rPr>
        <w:t>（签章）</w:t>
      </w:r>
    </w:p>
    <w:p>
      <w:pPr>
        <w:ind w:left="1680" w:firstLine="420"/>
        <w:rPr>
          <w:rFonts w:hAnsi="宋体"/>
          <w:b/>
          <w:sz w:val="36"/>
        </w:rPr>
      </w:pPr>
      <w:r>
        <w:rPr>
          <w:rFonts w:hint="eastAsia" w:hAnsi="宋体"/>
          <w:b/>
          <w:sz w:val="36"/>
        </w:rPr>
        <w:t>日      期 ：</w:t>
      </w:r>
      <w:r>
        <w:rPr>
          <w:rFonts w:hint="eastAsia" w:hAnsi="宋体"/>
          <w:b/>
          <w:sz w:val="36"/>
          <w:u w:val="single"/>
        </w:rPr>
        <w:t xml:space="preserve">               </w:t>
      </w:r>
    </w:p>
    <w:bookmarkEnd w:id="114"/>
    <w:bookmarkEnd w:id="115"/>
    <w:bookmarkEnd w:id="116"/>
    <w:p>
      <w:pPr>
        <w:rPr>
          <w:rFonts w:hAnsi="宋体"/>
          <w:b/>
          <w:sz w:val="30"/>
          <w:szCs w:val="30"/>
        </w:rPr>
      </w:pPr>
      <w:r>
        <w:rPr>
          <w:rFonts w:hint="eastAsia" w:hAnsi="宋体"/>
          <w:b/>
          <w:sz w:val="30"/>
          <w:szCs w:val="30"/>
        </w:rPr>
        <w:t xml:space="preserve"> </w:t>
      </w:r>
    </w:p>
    <w:p>
      <w:pPr>
        <w:spacing w:line="440" w:lineRule="exact"/>
        <w:jc w:val="center"/>
        <w:rPr>
          <w:rFonts w:hAnsi="宋体"/>
          <w:b/>
          <w:bCs/>
          <w:sz w:val="32"/>
          <w:szCs w:val="32"/>
        </w:rPr>
      </w:pPr>
      <w:r>
        <w:rPr>
          <w:rFonts w:hAnsi="宋体"/>
          <w:b/>
          <w:bCs/>
          <w:sz w:val="32"/>
          <w:szCs w:val="32"/>
        </w:rPr>
        <w:br w:type="page"/>
      </w:r>
      <w:r>
        <w:rPr>
          <w:rFonts w:hint="eastAsia" w:hAnsi="宋体"/>
          <w:b/>
          <w:bCs/>
          <w:sz w:val="32"/>
          <w:szCs w:val="32"/>
        </w:rPr>
        <w:t>响应文件目录</w:t>
      </w:r>
    </w:p>
    <w:p>
      <w:pPr>
        <w:snapToGrid w:val="0"/>
        <w:spacing w:before="50" w:after="50"/>
        <w:rPr>
          <w:rFonts w:hAnsi="宋体"/>
          <w:sz w:val="24"/>
          <w:szCs w:val="24"/>
        </w:rPr>
      </w:pPr>
    </w:p>
    <w:p>
      <w:pPr>
        <w:tabs>
          <w:tab w:val="left" w:pos="5580"/>
        </w:tabs>
        <w:adjustRightInd w:val="0"/>
        <w:snapToGrid w:val="0"/>
        <w:spacing w:line="360" w:lineRule="auto"/>
        <w:jc w:val="left"/>
        <w:rPr>
          <w:rFonts w:hAnsi="宋体"/>
          <w:b/>
          <w:sz w:val="24"/>
          <w:szCs w:val="24"/>
        </w:rPr>
      </w:pPr>
      <w:r>
        <w:rPr>
          <w:rFonts w:hint="eastAsia" w:hAnsi="宋体"/>
          <w:b/>
          <w:sz w:val="24"/>
          <w:szCs w:val="24"/>
        </w:rPr>
        <w:t>一、开标一览表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二、资格性和符合性检查响应对照表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三、资信证明文件</w:t>
      </w:r>
    </w:p>
    <w:p>
      <w:pPr>
        <w:tabs>
          <w:tab w:val="left" w:pos="5580"/>
        </w:tabs>
        <w:adjustRightInd w:val="0"/>
        <w:snapToGrid w:val="0"/>
        <w:spacing w:line="360" w:lineRule="auto"/>
        <w:jc w:val="left"/>
        <w:rPr>
          <w:rFonts w:hAnsi="宋体"/>
          <w:b/>
          <w:sz w:val="24"/>
          <w:szCs w:val="24"/>
        </w:rPr>
      </w:pPr>
      <w:r>
        <w:rPr>
          <w:rFonts w:hint="eastAsia" w:hAnsi="宋体"/>
          <w:b/>
          <w:sz w:val="24"/>
          <w:szCs w:val="24"/>
        </w:rPr>
        <w:t>四、磋商函格式</w:t>
      </w:r>
    </w:p>
    <w:p>
      <w:pPr>
        <w:adjustRightInd w:val="0"/>
        <w:snapToGrid w:val="0"/>
        <w:spacing w:line="360" w:lineRule="auto"/>
        <w:rPr>
          <w:rFonts w:ascii="宋体" w:hAnsi="宋体"/>
          <w:b/>
          <w:sz w:val="24"/>
          <w:szCs w:val="24"/>
        </w:rPr>
      </w:pPr>
      <w:r>
        <w:rPr>
          <w:rFonts w:hint="eastAsia" w:ascii="宋体" w:hAnsi="宋体"/>
          <w:b/>
          <w:sz w:val="24"/>
          <w:szCs w:val="24"/>
        </w:rPr>
        <w:t>五、清单报价明细表</w:t>
      </w:r>
    </w:p>
    <w:p>
      <w:pPr>
        <w:adjustRightInd w:val="0"/>
        <w:snapToGrid w:val="0"/>
        <w:spacing w:line="360" w:lineRule="auto"/>
        <w:rPr>
          <w:rFonts w:ascii="宋体" w:hAnsi="宋体"/>
          <w:b/>
          <w:sz w:val="24"/>
          <w:szCs w:val="24"/>
        </w:rPr>
      </w:pPr>
      <w:r>
        <w:rPr>
          <w:rFonts w:hint="eastAsia" w:ascii="宋体" w:hAnsi="宋体"/>
          <w:b/>
          <w:sz w:val="24"/>
          <w:szCs w:val="24"/>
        </w:rPr>
        <w:t>六、施工方案</w:t>
      </w:r>
    </w:p>
    <w:p>
      <w:pPr>
        <w:adjustRightInd w:val="0"/>
        <w:snapToGrid w:val="0"/>
        <w:spacing w:line="360" w:lineRule="auto"/>
        <w:rPr>
          <w:rFonts w:ascii="宋体" w:hAnsi="宋体"/>
          <w:b/>
          <w:sz w:val="24"/>
          <w:szCs w:val="24"/>
        </w:rPr>
      </w:pPr>
      <w:r>
        <w:rPr>
          <w:rFonts w:hint="eastAsia" w:ascii="宋体" w:hAnsi="宋体"/>
          <w:b/>
          <w:sz w:val="24"/>
          <w:szCs w:val="24"/>
        </w:rPr>
        <w:t>七、投标人需要提供的其它材料</w:t>
      </w:r>
    </w:p>
    <w:p>
      <w:pPr>
        <w:tabs>
          <w:tab w:val="left" w:pos="5580"/>
        </w:tabs>
        <w:spacing w:line="480" w:lineRule="exact"/>
        <w:jc w:val="left"/>
        <w:rPr>
          <w:rFonts w:hAnsi="宋体"/>
          <w:b/>
          <w:sz w:val="24"/>
          <w:szCs w:val="24"/>
        </w:rPr>
      </w:pPr>
    </w:p>
    <w:p>
      <w:pPr>
        <w:jc w:val="center"/>
        <w:rPr>
          <w:rFonts w:hAnsi="宋体"/>
          <w:sz w:val="24"/>
        </w:rPr>
      </w:pPr>
      <w:r>
        <w:rPr>
          <w:rFonts w:hAnsi="宋体"/>
          <w:sz w:val="24"/>
        </w:rPr>
        <w:br w:type="page"/>
      </w:r>
    </w:p>
    <w:p>
      <w:pPr>
        <w:snapToGrid w:val="0"/>
        <w:spacing w:before="50" w:after="50" w:line="360" w:lineRule="auto"/>
        <w:jc w:val="center"/>
        <w:rPr>
          <w:rFonts w:ascii="华文中宋" w:hAnsi="华文中宋" w:eastAsia="华文中宋"/>
          <w:b/>
          <w:spacing w:val="-6"/>
          <w:szCs w:val="28"/>
        </w:rPr>
      </w:pPr>
      <w:r>
        <w:rPr>
          <w:rFonts w:hint="eastAsia" w:ascii="华文中宋" w:hAnsi="华文中宋" w:eastAsia="华文中宋"/>
          <w:b/>
          <w:spacing w:val="-6"/>
          <w:szCs w:val="28"/>
        </w:rPr>
        <w:t>一、开标一览表</w:t>
      </w:r>
    </w:p>
    <w:p>
      <w:pPr>
        <w:snapToGrid w:val="0"/>
        <w:spacing w:before="50" w:after="50" w:line="360" w:lineRule="auto"/>
        <w:rPr>
          <w:rFonts w:ascii="宋体" w:hAnsi="宋体"/>
          <w:spacing w:val="-6"/>
          <w:sz w:val="24"/>
          <w:szCs w:val="24"/>
        </w:rPr>
      </w:pPr>
      <w:r>
        <w:rPr>
          <w:rFonts w:hint="eastAsia" w:ascii="宋体" w:hAnsi="宋体"/>
          <w:spacing w:val="-6"/>
          <w:sz w:val="24"/>
          <w:szCs w:val="24"/>
        </w:rPr>
        <w:t>招标编号：</w:t>
      </w:r>
    </w:p>
    <w:p>
      <w:pPr>
        <w:snapToGrid w:val="0"/>
        <w:spacing w:before="50" w:after="50" w:line="360" w:lineRule="auto"/>
        <w:rPr>
          <w:rFonts w:ascii="宋体" w:hAnsi="宋体"/>
          <w:spacing w:val="-6"/>
          <w:sz w:val="24"/>
          <w:szCs w:val="24"/>
        </w:rPr>
      </w:pPr>
      <w:r>
        <w:rPr>
          <w:rFonts w:hint="eastAsia" w:ascii="宋体" w:hAnsi="宋体"/>
          <w:spacing w:val="-6"/>
          <w:sz w:val="24"/>
          <w:szCs w:val="24"/>
        </w:rPr>
        <w:t>投标人名称：</w:t>
      </w:r>
      <w:r>
        <w:rPr>
          <w:rFonts w:hint="eastAsia" w:ascii="宋体" w:hAnsi="宋体"/>
          <w:spacing w:val="-6"/>
          <w:sz w:val="24"/>
          <w:szCs w:val="24"/>
          <w:u w:val="single"/>
        </w:rPr>
        <w:t xml:space="preserve">                     </w:t>
      </w:r>
      <w:r>
        <w:rPr>
          <w:rFonts w:hint="eastAsia" w:ascii="宋体" w:hAnsi="宋体"/>
          <w:spacing w:val="-6"/>
          <w:sz w:val="24"/>
          <w:szCs w:val="24"/>
        </w:rPr>
        <w:t xml:space="preserve">                           </w:t>
      </w:r>
    </w:p>
    <w:tbl>
      <w:tblPr>
        <w:tblStyle w:val="27"/>
        <w:tblW w:w="91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37"/>
        <w:gridCol w:w="39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13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spacing w:val="-6"/>
                <w:sz w:val="24"/>
                <w:szCs w:val="24"/>
              </w:rPr>
            </w:pPr>
            <w:r>
              <w:rPr>
                <w:rFonts w:hint="eastAsia" w:ascii="宋体" w:hAnsi="宋体"/>
                <w:b/>
                <w:spacing w:val="-6"/>
                <w:sz w:val="24"/>
                <w:szCs w:val="24"/>
              </w:rPr>
              <w:t>项目名称</w:t>
            </w:r>
          </w:p>
        </w:tc>
        <w:tc>
          <w:tcPr>
            <w:tcW w:w="39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spacing w:val="-6"/>
                <w:sz w:val="24"/>
                <w:szCs w:val="24"/>
              </w:rPr>
            </w:pPr>
            <w:r>
              <w:rPr>
                <w:rFonts w:hint="eastAsia" w:ascii="宋体" w:hAnsi="宋体"/>
                <w:b/>
                <w:spacing w:val="-6"/>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1" w:hRule="atLeast"/>
          <w:jc w:val="center"/>
        </w:trPr>
        <w:tc>
          <w:tcPr>
            <w:tcW w:w="5137" w:type="dxa"/>
            <w:tcBorders>
              <w:top w:val="single" w:color="auto" w:sz="4" w:space="0"/>
              <w:left w:val="single" w:color="auto" w:sz="4" w:space="0"/>
              <w:right w:val="single" w:color="auto" w:sz="4" w:space="0"/>
            </w:tcBorders>
            <w:noWrap w:val="0"/>
            <w:vAlign w:val="center"/>
          </w:tcPr>
          <w:p>
            <w:pPr>
              <w:jc w:val="center"/>
              <w:rPr>
                <w:rFonts w:hint="eastAsia" w:eastAsia="宋体"/>
                <w:bCs/>
                <w:sz w:val="24"/>
                <w:szCs w:val="24"/>
                <w:lang w:eastAsia="zh-CN"/>
              </w:rPr>
            </w:pPr>
            <w:r>
              <w:rPr>
                <w:rFonts w:hint="eastAsia" w:eastAsia="宋体" w:cs="Times New Roman"/>
                <w:lang w:eastAsia="zh-CN"/>
              </w:rPr>
              <w:t>皖南医学院楼宇钢网架等安全检测鉴定项目</w:t>
            </w:r>
          </w:p>
        </w:tc>
        <w:tc>
          <w:tcPr>
            <w:tcW w:w="3978" w:type="dxa"/>
            <w:tcBorders>
              <w:top w:val="single" w:color="auto" w:sz="4" w:space="0"/>
              <w:left w:val="single" w:color="auto" w:sz="4" w:space="0"/>
              <w:right w:val="single" w:color="auto" w:sz="4" w:space="0"/>
            </w:tcBorders>
            <w:noWrap w:val="0"/>
            <w:vAlign w:val="center"/>
          </w:tcPr>
          <w:p>
            <w:pPr>
              <w:snapToGrid w:val="0"/>
              <w:spacing w:before="50" w:after="50"/>
              <w:jc w:val="left"/>
              <w:rPr>
                <w:rFonts w:hint="default" w:ascii="宋体" w:hAnsi="宋体" w:eastAsia="宋体"/>
                <w:spacing w:val="-6"/>
                <w:sz w:val="24"/>
                <w:szCs w:val="24"/>
                <w:u w:val="single"/>
                <w:lang w:val="en-US" w:eastAsia="zh-CN"/>
              </w:rPr>
            </w:pPr>
            <w:r>
              <w:rPr>
                <w:rFonts w:hint="eastAsia" w:ascii="宋体" w:hAnsi="宋体"/>
                <w:spacing w:val="-6"/>
                <w:sz w:val="24"/>
                <w:szCs w:val="24"/>
              </w:rPr>
              <w:t>大写：</w:t>
            </w:r>
            <w:r>
              <w:rPr>
                <w:rFonts w:hint="eastAsia" w:ascii="宋体" w:hAnsi="宋体"/>
                <w:spacing w:val="-6"/>
                <w:sz w:val="24"/>
                <w:szCs w:val="24"/>
                <w:u w:val="single"/>
              </w:rPr>
              <w:t xml:space="preserve">                  </w:t>
            </w:r>
            <w:r>
              <w:rPr>
                <w:rFonts w:hint="eastAsia" w:ascii="宋体" w:hAnsi="宋体"/>
                <w:spacing w:val="-6"/>
                <w:sz w:val="24"/>
                <w:szCs w:val="24"/>
                <w:u w:val="single"/>
                <w:lang w:val="en-US" w:eastAsia="zh-CN"/>
              </w:rPr>
              <w:t>元</w:t>
            </w:r>
            <w:r>
              <w:rPr>
                <w:rFonts w:hint="eastAsia" w:ascii="宋体" w:hAnsi="宋体"/>
                <w:spacing w:val="-6"/>
                <w:sz w:val="24"/>
                <w:szCs w:val="24"/>
                <w:u w:val="single"/>
              </w:rPr>
              <w:t xml:space="preserve"> </w:t>
            </w:r>
          </w:p>
          <w:p>
            <w:pPr>
              <w:snapToGrid w:val="0"/>
              <w:spacing w:before="50" w:after="50"/>
              <w:jc w:val="center"/>
              <w:rPr>
                <w:rFonts w:ascii="宋体" w:hAnsi="宋体"/>
                <w:spacing w:val="-6"/>
                <w:sz w:val="24"/>
                <w:szCs w:val="24"/>
              </w:rPr>
            </w:pPr>
          </w:p>
          <w:p>
            <w:pPr>
              <w:pStyle w:val="26"/>
              <w:numPr>
                <w:ilvl w:val="0"/>
                <w:numId w:val="0"/>
              </w:numPr>
              <w:rPr>
                <w:rFonts w:hint="eastAsia"/>
                <w:lang w:val="en-US" w:eastAsia="zh-CN"/>
              </w:rPr>
            </w:pPr>
            <w:r>
              <w:rPr>
                <w:rFonts w:hint="eastAsia" w:ascii="宋体" w:hAnsi="宋体"/>
                <w:spacing w:val="-6"/>
                <w:sz w:val="24"/>
                <w:szCs w:val="24"/>
              </w:rPr>
              <w:t>小写：</w:t>
            </w:r>
            <w:r>
              <w:rPr>
                <w:rFonts w:hint="eastAsia" w:ascii="宋体" w:hAnsi="宋体"/>
                <w:spacing w:val="-6"/>
                <w:sz w:val="24"/>
                <w:szCs w:val="24"/>
                <w:u w:val="single"/>
              </w:rPr>
              <w:t xml:space="preserve">                  </w:t>
            </w:r>
            <w:r>
              <w:rPr>
                <w:rFonts w:hint="eastAsia" w:hAnsi="宋体"/>
                <w:spacing w:val="-6"/>
                <w:sz w:val="24"/>
                <w:szCs w:val="24"/>
                <w:u w:val="single"/>
                <w:lang w:val="en-US" w:eastAsia="zh-CN"/>
              </w:rPr>
              <w:t>元</w:t>
            </w:r>
            <w:r>
              <w:rPr>
                <w:rFonts w:hint="eastAsia" w:ascii="宋体" w:hAnsi="宋体"/>
                <w:spacing w:val="-6"/>
                <w:sz w:val="24"/>
                <w:szCs w:val="24"/>
                <w:u w:val="single"/>
              </w:rPr>
              <w:t xml:space="preserve"> </w:t>
            </w:r>
          </w:p>
          <w:p>
            <w:pPr>
              <w:pStyle w:val="26"/>
              <w:ind w:left="0" w:leftChars="0" w:firstLine="0" w:firstLineChars="0"/>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2" w:hRule="atLeast"/>
          <w:jc w:val="center"/>
        </w:trPr>
        <w:tc>
          <w:tcPr>
            <w:tcW w:w="911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eastAsia="宋体"/>
                <w:spacing w:val="-6"/>
                <w:sz w:val="24"/>
                <w:szCs w:val="24"/>
                <w:lang w:eastAsia="zh-CN"/>
              </w:rPr>
            </w:pPr>
            <w:r>
              <w:rPr>
                <w:rFonts w:hint="eastAsia" w:eastAsia="宋体" w:cs="Times New Roman"/>
              </w:rPr>
              <w:t>备注：</w:t>
            </w:r>
          </w:p>
        </w:tc>
      </w:tr>
    </w:tbl>
    <w:p>
      <w:pPr>
        <w:snapToGrid w:val="0"/>
        <w:spacing w:before="50" w:after="50" w:line="360" w:lineRule="auto"/>
        <w:jc w:val="left"/>
        <w:rPr>
          <w:rFonts w:ascii="宋体" w:hAnsi="宋体"/>
          <w:spacing w:val="-6"/>
          <w:sz w:val="24"/>
          <w:szCs w:val="24"/>
        </w:rPr>
      </w:pPr>
      <w:r>
        <w:rPr>
          <w:rFonts w:hint="eastAsia" w:ascii="宋体" w:hAnsi="宋体"/>
          <w:spacing w:val="-6"/>
          <w:sz w:val="24"/>
          <w:szCs w:val="24"/>
        </w:rPr>
        <w:t>注: 1、实际费用据实结算。</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2、报价不得涂改否则其投标作无效标处理。</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3、</w:t>
      </w:r>
      <w:r>
        <w:rPr>
          <w:rFonts w:hint="eastAsia" w:ascii="宋体" w:hAnsi="宋体"/>
          <w:sz w:val="24"/>
          <w:szCs w:val="24"/>
        </w:rPr>
        <w:t>磋商报价</w:t>
      </w:r>
      <w:r>
        <w:rPr>
          <w:rFonts w:hint="eastAsia" w:ascii="宋体" w:hAnsi="宋体"/>
          <w:spacing w:val="-6"/>
          <w:sz w:val="24"/>
          <w:szCs w:val="24"/>
        </w:rPr>
        <w:t>应包括</w:t>
      </w:r>
      <w:r>
        <w:rPr>
          <w:rFonts w:hint="eastAsia" w:ascii="宋体" w:hAnsi="宋体"/>
          <w:sz w:val="24"/>
          <w:szCs w:val="24"/>
        </w:rPr>
        <w:t>所需人工费、材料费、其他（保险费，以及合同明示或暗示的风险、责任和义务等）费，以及管理费、利润和规费、税金等一切费用</w:t>
      </w:r>
      <w:r>
        <w:rPr>
          <w:rFonts w:hint="eastAsia" w:ascii="宋体" w:hAnsi="宋体"/>
          <w:spacing w:val="-6"/>
          <w:sz w:val="24"/>
          <w:szCs w:val="24"/>
        </w:rPr>
        <w:t>。</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4、此表在不改变格式要求的情况下，可自行制作。</w:t>
      </w:r>
    </w:p>
    <w:p>
      <w:pPr>
        <w:snapToGrid w:val="0"/>
        <w:spacing w:before="50" w:after="50" w:line="360" w:lineRule="auto"/>
        <w:ind w:left="-61" w:leftChars="-72" w:right="-1089" w:rightChars="-389" w:hanging="141" w:hangingChars="62"/>
        <w:rPr>
          <w:rFonts w:ascii="宋体" w:hAnsi="宋体"/>
          <w:spacing w:val="-6"/>
          <w:sz w:val="24"/>
          <w:szCs w:val="24"/>
        </w:rPr>
      </w:pPr>
      <w:r>
        <w:rPr>
          <w:rFonts w:hint="eastAsia" w:ascii="宋体" w:hAnsi="宋体"/>
          <w:spacing w:val="-6"/>
          <w:sz w:val="24"/>
          <w:szCs w:val="24"/>
        </w:rPr>
        <w:t>授权代表签字：</w:t>
      </w:r>
    </w:p>
    <w:p>
      <w:pPr>
        <w:jc w:val="center"/>
        <w:rPr>
          <w:rFonts w:hAnsi="宋体"/>
          <w:sz w:val="24"/>
          <w:szCs w:val="24"/>
        </w:rPr>
      </w:pPr>
      <w:r>
        <w:rPr>
          <w:rFonts w:hint="eastAsia" w:ascii="宋体" w:hAnsi="宋体"/>
          <w:spacing w:val="-6"/>
          <w:sz w:val="24"/>
          <w:szCs w:val="24"/>
        </w:rPr>
        <w:t>投标人名称（盖章）：                                 日期：    年   月   日</w:t>
      </w:r>
    </w:p>
    <w:p>
      <w:pPr>
        <w:jc w:val="center"/>
        <w:rPr>
          <w:rStyle w:val="64"/>
          <w:rFonts w:hAnsi="宋体"/>
          <w:color w:val="auto"/>
          <w:sz w:val="24"/>
          <w:szCs w:val="24"/>
        </w:rPr>
      </w:pPr>
    </w:p>
    <w:p>
      <w:pPr>
        <w:jc w:val="both"/>
        <w:rPr>
          <w:rFonts w:ascii="宋体" w:hAnsi="宋体"/>
          <w:spacing w:val="-6"/>
          <w:sz w:val="24"/>
        </w:rPr>
      </w:pPr>
    </w:p>
    <w:p>
      <w:pPr>
        <w:jc w:val="center"/>
        <w:rPr>
          <w:rFonts w:ascii="宋体" w:hAnsi="宋体"/>
          <w:spacing w:val="-6"/>
          <w:sz w:val="24"/>
        </w:rPr>
      </w:pPr>
    </w:p>
    <w:p>
      <w:pPr>
        <w:jc w:val="center"/>
        <w:rPr>
          <w:rStyle w:val="64"/>
          <w:rFonts w:ascii="华文中宋" w:hAnsi="华文中宋" w:eastAsia="华文中宋"/>
          <w:color w:val="auto"/>
          <w:sz w:val="28"/>
          <w:szCs w:val="28"/>
        </w:rPr>
      </w:pPr>
      <w:r>
        <w:rPr>
          <w:rStyle w:val="64"/>
          <w:rFonts w:hint="eastAsia" w:ascii="华文中宋" w:hAnsi="华文中宋" w:eastAsia="华文中宋"/>
          <w:color w:val="auto"/>
          <w:sz w:val="28"/>
          <w:szCs w:val="28"/>
        </w:rPr>
        <w:t>二、资格性和符合性检查响应对照表</w:t>
      </w:r>
    </w:p>
    <w:p>
      <w:pPr>
        <w:ind w:firstLine="309"/>
        <w:rPr>
          <w:rFonts w:hAnsi="宋体"/>
          <w:sz w:val="24"/>
          <w:szCs w:val="24"/>
        </w:rPr>
      </w:pPr>
    </w:p>
    <w:p>
      <w:pPr>
        <w:ind w:firstLine="309"/>
        <w:rPr>
          <w:rFonts w:hAnsi="宋体"/>
          <w:sz w:val="24"/>
          <w:szCs w:val="24"/>
        </w:rPr>
      </w:pPr>
      <w:r>
        <w:rPr>
          <w:rFonts w:hint="eastAsia" w:hAnsi="宋体"/>
          <w:sz w:val="24"/>
          <w:szCs w:val="24"/>
        </w:rPr>
        <w:t>供应商全称（加盖公章）：</w:t>
      </w:r>
    </w:p>
    <w:tbl>
      <w:tblPr>
        <w:tblStyle w:val="27"/>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09" w:type="dxa"/>
            <w:noWrap w:val="0"/>
            <w:vAlign w:val="center"/>
          </w:tcPr>
          <w:p>
            <w:pPr>
              <w:snapToGrid w:val="0"/>
              <w:spacing w:line="240" w:lineRule="atLeast"/>
              <w:jc w:val="center"/>
              <w:rPr>
                <w:rFonts w:hAnsi="宋体"/>
                <w:b/>
                <w:sz w:val="24"/>
                <w:szCs w:val="24"/>
              </w:rPr>
            </w:pPr>
            <w:r>
              <w:rPr>
                <w:rFonts w:hint="eastAsia" w:hAnsi="宋体"/>
                <w:b/>
                <w:sz w:val="24"/>
                <w:szCs w:val="24"/>
              </w:rPr>
              <w:t>序号</w:t>
            </w:r>
          </w:p>
        </w:tc>
        <w:tc>
          <w:tcPr>
            <w:tcW w:w="4678" w:type="dxa"/>
            <w:noWrap w:val="0"/>
            <w:vAlign w:val="center"/>
          </w:tcPr>
          <w:p>
            <w:pPr>
              <w:snapToGrid w:val="0"/>
              <w:spacing w:line="240" w:lineRule="atLeast"/>
              <w:jc w:val="center"/>
              <w:rPr>
                <w:rFonts w:hAnsi="宋体"/>
                <w:b/>
                <w:sz w:val="24"/>
                <w:szCs w:val="24"/>
              </w:rPr>
            </w:pPr>
            <w:r>
              <w:rPr>
                <w:rFonts w:hint="eastAsia" w:hAnsi="宋体"/>
                <w:b/>
                <w:sz w:val="24"/>
                <w:szCs w:val="24"/>
              </w:rPr>
              <w:t>资格和符合性检查响应内容</w:t>
            </w:r>
          </w:p>
        </w:tc>
        <w:tc>
          <w:tcPr>
            <w:tcW w:w="1842" w:type="dxa"/>
            <w:noWrap w:val="0"/>
            <w:vAlign w:val="center"/>
          </w:tcPr>
          <w:p>
            <w:pPr>
              <w:snapToGrid w:val="0"/>
              <w:spacing w:line="240" w:lineRule="atLeast"/>
              <w:jc w:val="center"/>
              <w:rPr>
                <w:rFonts w:hAnsi="宋体"/>
                <w:b/>
                <w:sz w:val="24"/>
                <w:szCs w:val="24"/>
              </w:rPr>
            </w:pPr>
            <w:r>
              <w:rPr>
                <w:rFonts w:hint="eastAsia" w:hAnsi="宋体"/>
                <w:b/>
                <w:sz w:val="24"/>
                <w:szCs w:val="24"/>
              </w:rPr>
              <w:t>是否响应</w:t>
            </w:r>
          </w:p>
          <w:p>
            <w:pPr>
              <w:snapToGrid w:val="0"/>
              <w:spacing w:line="240" w:lineRule="atLeast"/>
              <w:jc w:val="center"/>
              <w:rPr>
                <w:rFonts w:hAnsi="宋体"/>
                <w:b/>
                <w:sz w:val="24"/>
                <w:szCs w:val="24"/>
              </w:rPr>
            </w:pPr>
            <w:r>
              <w:rPr>
                <w:rFonts w:hint="eastAsia" w:hAnsi="宋体"/>
                <w:b/>
                <w:sz w:val="24"/>
                <w:szCs w:val="24"/>
              </w:rPr>
              <w:t>（填是或者否）</w:t>
            </w:r>
          </w:p>
        </w:tc>
        <w:tc>
          <w:tcPr>
            <w:tcW w:w="1701" w:type="dxa"/>
            <w:noWrap w:val="0"/>
            <w:vAlign w:val="center"/>
          </w:tcPr>
          <w:p>
            <w:pPr>
              <w:snapToGrid w:val="0"/>
              <w:spacing w:line="240" w:lineRule="atLeast"/>
              <w:jc w:val="center"/>
              <w:rPr>
                <w:rFonts w:hAnsi="宋体"/>
                <w:b/>
                <w:sz w:val="24"/>
                <w:szCs w:val="24"/>
              </w:rPr>
            </w:pPr>
            <w:r>
              <w:rPr>
                <w:rFonts w:hint="eastAsia" w:hAnsi="宋体"/>
                <w:b/>
                <w:sz w:val="24"/>
                <w:szCs w:val="24"/>
              </w:rPr>
              <w:t>响应文件中的</w:t>
            </w:r>
          </w:p>
          <w:p>
            <w:pPr>
              <w:snapToGrid w:val="0"/>
              <w:spacing w:line="240" w:lineRule="atLeast"/>
              <w:jc w:val="center"/>
              <w:rPr>
                <w:rFonts w:hAnsi="宋体"/>
                <w:b/>
                <w:sz w:val="24"/>
                <w:szCs w:val="24"/>
              </w:rPr>
            </w:pPr>
            <w:r>
              <w:rPr>
                <w:rFonts w:hint="eastAsia" w:hAnsi="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b/>
                <w:sz w:val="24"/>
                <w:szCs w:val="24"/>
              </w:rPr>
            </w:pPr>
            <w:r>
              <w:rPr>
                <w:rFonts w:hint="eastAsia" w:hAnsi="宋体"/>
                <w:sz w:val="24"/>
                <w:szCs w:val="24"/>
              </w:rPr>
              <w:t>1</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1   工商营业执照（复印件</w:t>
            </w:r>
            <w:r>
              <w:rPr>
                <w:rFonts w:hint="eastAsia" w:hAnsi="宋体"/>
                <w:i/>
                <w:iCs/>
                <w:sz w:val="24"/>
                <w:szCs w:val="24"/>
                <w:u w:val="single"/>
              </w:rPr>
              <w:t>，</w:t>
            </w:r>
            <w:r>
              <w:rPr>
                <w:rFonts w:hAnsi="宋体"/>
                <w:i/>
                <w:iCs/>
                <w:sz w:val="24"/>
                <w:szCs w:val="24"/>
                <w:u w:val="single"/>
              </w:rPr>
              <w:t>加盖公章）</w:t>
            </w:r>
          </w:p>
        </w:tc>
        <w:tc>
          <w:tcPr>
            <w:tcW w:w="1842" w:type="dxa"/>
            <w:noWrap w:val="0"/>
            <w:vAlign w:val="center"/>
          </w:tcPr>
          <w:p>
            <w:pPr>
              <w:jc w:val="center"/>
              <w:rPr>
                <w:rFonts w:hAnsi="宋体"/>
                <w:b/>
                <w:sz w:val="24"/>
                <w:szCs w:val="24"/>
              </w:rPr>
            </w:pPr>
          </w:p>
        </w:tc>
        <w:tc>
          <w:tcPr>
            <w:tcW w:w="1701" w:type="dxa"/>
            <w:noWrap w:val="0"/>
            <w:vAlign w:val="center"/>
          </w:tcPr>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sz w:val="24"/>
                <w:szCs w:val="24"/>
              </w:rPr>
            </w:pPr>
            <w:r>
              <w:rPr>
                <w:rFonts w:hint="eastAsia" w:hAnsi="宋体"/>
                <w:sz w:val="24"/>
                <w:szCs w:val="24"/>
              </w:rPr>
              <w:t>2</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2   法人授权书（原件</w:t>
            </w:r>
            <w:r>
              <w:rPr>
                <w:rFonts w:hint="eastAsia" w:hAnsi="宋体"/>
                <w:i/>
                <w:iCs/>
                <w:sz w:val="24"/>
                <w:szCs w:val="24"/>
                <w:u w:val="single"/>
              </w:rPr>
              <w:t>，</w:t>
            </w:r>
            <w:r>
              <w:rPr>
                <w:rFonts w:hAnsi="宋体"/>
                <w:i/>
                <w:iCs/>
                <w:sz w:val="24"/>
                <w:szCs w:val="24"/>
                <w:u w:val="single"/>
              </w:rPr>
              <w:t>非法定代表人参与</w:t>
            </w:r>
            <w:r>
              <w:rPr>
                <w:rFonts w:hint="eastAsia" w:hAnsi="宋体"/>
                <w:i/>
                <w:iCs/>
                <w:sz w:val="24"/>
                <w:szCs w:val="24"/>
                <w:u w:val="single"/>
              </w:rPr>
              <w:t>磋商</w:t>
            </w:r>
            <w:r>
              <w:rPr>
                <w:rFonts w:hAnsi="宋体"/>
                <w:i/>
                <w:iCs/>
                <w:sz w:val="24"/>
                <w:szCs w:val="24"/>
                <w:u w:val="single"/>
              </w:rPr>
              <w:t>时必须提供）</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sz w:val="24"/>
                <w:szCs w:val="24"/>
              </w:rPr>
            </w:pPr>
            <w:r>
              <w:rPr>
                <w:rFonts w:hint="eastAsia" w:hAnsi="宋体"/>
                <w:sz w:val="24"/>
                <w:szCs w:val="24"/>
              </w:rPr>
              <w:t>3</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文件3</w:t>
            </w:r>
            <w:r>
              <w:rPr>
                <w:rFonts w:hAnsi="宋体"/>
                <w:i/>
                <w:iCs/>
                <w:sz w:val="24"/>
                <w:szCs w:val="24"/>
                <w:u w:val="single"/>
              </w:rPr>
              <w:t xml:space="preserve">  </w:t>
            </w:r>
            <w:r>
              <w:rPr>
                <w:rFonts w:hint="eastAsia" w:hAnsi="宋体"/>
                <w:i/>
                <w:iCs/>
                <w:sz w:val="24"/>
                <w:szCs w:val="24"/>
                <w:u w:val="single"/>
              </w:rPr>
              <w:t xml:space="preserve"> 投标人一般情况表</w:t>
            </w:r>
            <w:r>
              <w:rPr>
                <w:rFonts w:hAnsi="宋体"/>
                <w:i/>
                <w:iCs/>
                <w:sz w:val="24"/>
                <w:szCs w:val="24"/>
                <w:u w:val="single"/>
              </w:rPr>
              <w:t>（原件）</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709" w:type="dxa"/>
            <w:noWrap w:val="0"/>
            <w:vAlign w:val="center"/>
          </w:tcPr>
          <w:p>
            <w:pPr>
              <w:jc w:val="center"/>
              <w:rPr>
                <w:rFonts w:hAnsi="宋体"/>
                <w:sz w:val="24"/>
                <w:szCs w:val="24"/>
              </w:rPr>
            </w:pPr>
            <w:r>
              <w:rPr>
                <w:rFonts w:hint="eastAsia" w:hAnsi="宋体"/>
                <w:sz w:val="24"/>
                <w:szCs w:val="24"/>
              </w:rPr>
              <w:t>4</w:t>
            </w:r>
          </w:p>
        </w:tc>
        <w:tc>
          <w:tcPr>
            <w:tcW w:w="4678" w:type="dxa"/>
            <w:noWrap w:val="0"/>
            <w:vAlign w:val="center"/>
          </w:tcPr>
          <w:p>
            <w:pPr>
              <w:rPr>
                <w:rFonts w:ascii="宋体" w:hAnsi="宋体"/>
                <w:i/>
                <w:iCs/>
                <w:sz w:val="24"/>
                <w:szCs w:val="24"/>
                <w:u w:val="single"/>
              </w:rPr>
            </w:pPr>
            <w:r>
              <w:rPr>
                <w:rFonts w:hint="eastAsia" w:hAnsi="宋体"/>
                <w:i/>
                <w:iCs/>
                <w:sz w:val="24"/>
                <w:szCs w:val="24"/>
              </w:rPr>
              <w:t>磋商文件中的其他实质性要求</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bl>
    <w:p>
      <w:pPr>
        <w:snapToGrid w:val="0"/>
        <w:spacing w:before="50" w:after="50"/>
        <w:rPr>
          <w:rFonts w:hAnsi="宋体"/>
          <w:sz w:val="24"/>
          <w:szCs w:val="24"/>
        </w:rPr>
      </w:pPr>
    </w:p>
    <w:p>
      <w:pPr>
        <w:snapToGrid w:val="0"/>
        <w:spacing w:before="50" w:after="50"/>
        <w:jc w:val="center"/>
        <w:rPr>
          <w:rStyle w:val="64"/>
          <w:rFonts w:ascii="华文中宋" w:hAnsi="华文中宋" w:eastAsia="华文中宋"/>
          <w:color w:val="auto"/>
          <w:sz w:val="28"/>
          <w:szCs w:val="28"/>
        </w:rPr>
      </w:pPr>
      <w:r>
        <w:rPr>
          <w:rFonts w:hAnsi="宋体"/>
          <w:sz w:val="32"/>
          <w:szCs w:val="32"/>
        </w:rPr>
        <w:br w:type="page"/>
      </w:r>
      <w:r>
        <w:rPr>
          <w:rStyle w:val="64"/>
          <w:rFonts w:hint="eastAsia" w:ascii="华文中宋" w:hAnsi="华文中宋" w:eastAsia="华文中宋"/>
          <w:color w:val="auto"/>
          <w:sz w:val="28"/>
          <w:szCs w:val="28"/>
        </w:rPr>
        <w:t>三、资信证明文件</w:t>
      </w:r>
    </w:p>
    <w:p>
      <w:pPr>
        <w:rPr>
          <w:rFonts w:hAnsi="宋体"/>
          <w:sz w:val="24"/>
          <w:szCs w:val="24"/>
        </w:rPr>
      </w:pPr>
    </w:p>
    <w:p>
      <w:pPr>
        <w:rPr>
          <w:rFonts w:ascii="仿宋_GB2312" w:hAnsi="宋体" w:eastAsia="仿宋_GB2312"/>
          <w:sz w:val="24"/>
          <w:szCs w:val="24"/>
        </w:rPr>
      </w:pPr>
      <w:r>
        <w:rPr>
          <w:rFonts w:hint="eastAsia" w:ascii="仿宋_GB2312" w:hAnsi="宋体" w:eastAsia="仿宋_GB2312"/>
          <w:sz w:val="24"/>
          <w:szCs w:val="24"/>
        </w:rPr>
        <w:t>1、实质性资格证明文件目录</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文件1   工商营业执照（复印件，加盖公章）</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文件2   法人授权书（原件，非法定代表人参与磋商时必须提供）</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文件3   投标人一般情况表（原件）</w:t>
      </w:r>
    </w:p>
    <w:p>
      <w:pPr>
        <w:rPr>
          <w:rFonts w:ascii="仿宋_GB2312" w:hAnsi="宋体" w:eastAsia="仿宋_GB2312"/>
          <w:sz w:val="24"/>
          <w:szCs w:val="24"/>
          <w:u w:val="single"/>
        </w:rPr>
      </w:pPr>
      <w:r>
        <w:rPr>
          <w:rFonts w:hint="eastAsia" w:ascii="仿宋_GB2312" w:hAnsi="宋体" w:eastAsia="仿宋_GB2312"/>
          <w:i/>
          <w:iCs/>
          <w:sz w:val="24"/>
          <w:szCs w:val="24"/>
          <w:u w:val="single"/>
        </w:rPr>
        <w:t>文件4磋商文件中的其他实质性要求</w:t>
      </w:r>
    </w:p>
    <w:p>
      <w:pPr>
        <w:rPr>
          <w:rFonts w:ascii="仿宋_GB2312" w:hAnsi="宋体" w:eastAsia="仿宋_GB2312"/>
          <w:sz w:val="24"/>
          <w:szCs w:val="24"/>
        </w:rPr>
      </w:pPr>
      <w:r>
        <w:rPr>
          <w:rFonts w:hint="eastAsia" w:ascii="仿宋_GB2312" w:hAnsi="宋体" w:eastAsia="仿宋_GB2312"/>
          <w:sz w:val="24"/>
          <w:szCs w:val="24"/>
        </w:rPr>
        <w:t>2、非实质性资信证明文件目录</w:t>
      </w:r>
    </w:p>
    <w:p>
      <w:pPr>
        <w:rPr>
          <w:rFonts w:ascii="仿宋_GB2312" w:hAnsi="宋体" w:eastAsia="仿宋_GB2312"/>
          <w:iCs/>
          <w:sz w:val="24"/>
          <w:szCs w:val="24"/>
        </w:rPr>
      </w:pPr>
      <w:bookmarkStart w:id="117" w:name="_Toc24878535"/>
      <w:bookmarkStart w:id="118" w:name="_Toc49090582"/>
      <w:bookmarkStart w:id="119" w:name="_Toc23828483"/>
      <w:bookmarkStart w:id="120" w:name="_Toc513029281"/>
      <w:bookmarkStart w:id="121" w:name="_Toc26554103"/>
      <w:bookmarkStart w:id="122" w:name="_Toc22356583"/>
      <w:bookmarkStart w:id="123" w:name="_Toc120614291"/>
      <w:bookmarkStart w:id="124" w:name="_Toc120614284"/>
      <w:r>
        <w:rPr>
          <w:rFonts w:hint="eastAsia" w:ascii="仿宋_GB2312" w:hAnsi="宋体" w:eastAsia="仿宋_GB2312"/>
          <w:iCs/>
          <w:sz w:val="24"/>
          <w:szCs w:val="24"/>
        </w:rPr>
        <w:t xml:space="preserve">文件1  </w:t>
      </w:r>
      <w:r>
        <w:rPr>
          <w:rFonts w:hint="eastAsia" w:ascii="仿宋_GB2312" w:hAnsi="宋体" w:eastAsia="仿宋_GB2312"/>
          <w:sz w:val="24"/>
          <w:szCs w:val="24"/>
        </w:rPr>
        <w:t>能说明响应产品规格型号、性能参数的彩页资料（或能佐证产品技术参数的其他宣传资料）（如有）</w:t>
      </w:r>
    </w:p>
    <w:p>
      <w:pPr>
        <w:rPr>
          <w:rFonts w:ascii="仿宋_GB2312" w:hAnsi="宋体" w:eastAsia="仿宋_GB2312"/>
          <w:sz w:val="24"/>
          <w:szCs w:val="24"/>
        </w:rPr>
      </w:pPr>
      <w:r>
        <w:rPr>
          <w:rFonts w:hint="eastAsia" w:ascii="仿宋_GB2312" w:hAnsi="宋体" w:eastAsia="仿宋_GB2312"/>
          <w:iCs/>
          <w:sz w:val="24"/>
          <w:szCs w:val="24"/>
        </w:rPr>
        <w:t xml:space="preserve">文件2  </w:t>
      </w:r>
      <w:r>
        <w:rPr>
          <w:rFonts w:hint="eastAsia" w:ascii="仿宋_GB2312" w:hAnsi="宋体" w:eastAsia="仿宋_GB2312"/>
          <w:sz w:val="24"/>
          <w:szCs w:val="24"/>
        </w:rPr>
        <w:t>其他和本项目有关的证明材料</w:t>
      </w:r>
    </w:p>
    <w:p>
      <w:pPr>
        <w:rPr>
          <w:rFonts w:hAnsi="宋体"/>
          <w:sz w:val="24"/>
          <w:szCs w:val="24"/>
        </w:rPr>
      </w:pPr>
    </w:p>
    <w:p>
      <w:pPr>
        <w:rPr>
          <w:rFonts w:hAnsi="宋体"/>
          <w:sz w:val="24"/>
          <w:szCs w:val="24"/>
        </w:rPr>
      </w:pPr>
    </w:p>
    <w:p>
      <w:pPr>
        <w:rPr>
          <w:rFonts w:hAnsi="宋体"/>
          <w:szCs w:val="24"/>
        </w:rPr>
      </w:pPr>
    </w:p>
    <w:p>
      <w:pPr>
        <w:jc w:val="center"/>
        <w:rPr>
          <w:rFonts w:hAnsi="宋体"/>
        </w:rPr>
      </w:pPr>
      <w:r>
        <w:rPr>
          <w:rFonts w:hAnsi="宋体"/>
          <w:szCs w:val="24"/>
        </w:rPr>
        <w:br w:type="page"/>
      </w:r>
      <w:r>
        <w:rPr>
          <w:rFonts w:hint="eastAsia" w:hAnsi="宋体"/>
        </w:rPr>
        <w:t>法人授权书</w:t>
      </w:r>
      <w:bookmarkEnd w:id="117"/>
      <w:bookmarkEnd w:id="118"/>
      <w:bookmarkEnd w:id="119"/>
      <w:bookmarkEnd w:id="120"/>
      <w:bookmarkEnd w:id="121"/>
      <w:bookmarkEnd w:id="122"/>
      <w:bookmarkEnd w:id="123"/>
      <w:r>
        <w:rPr>
          <w:rFonts w:hint="eastAsia" w:hAnsi="宋体"/>
        </w:rPr>
        <w:t>格式</w:t>
      </w:r>
    </w:p>
    <w:p>
      <w:pPr>
        <w:snapToGrid w:val="0"/>
        <w:spacing w:line="360" w:lineRule="auto"/>
        <w:rPr>
          <w:rFonts w:ascii="宋体" w:hAnsi="宋体"/>
          <w:b/>
          <w:spacing w:val="-6"/>
          <w:sz w:val="24"/>
          <w:szCs w:val="24"/>
        </w:rPr>
      </w:pPr>
      <w:r>
        <w:rPr>
          <w:rFonts w:hint="eastAsia" w:ascii="宋体" w:hAnsi="宋体"/>
          <w:spacing w:val="-6"/>
          <w:sz w:val="24"/>
          <w:szCs w:val="24"/>
        </w:rPr>
        <w:t>致：皖南医学院：</w:t>
      </w:r>
    </w:p>
    <w:p>
      <w:pPr>
        <w:adjustRightInd w:val="0"/>
        <w:snapToGrid w:val="0"/>
        <w:spacing w:line="360" w:lineRule="auto"/>
        <w:ind w:firstLine="684" w:firstLineChars="300"/>
        <w:rPr>
          <w:rFonts w:ascii="宋体" w:hAnsi="宋体"/>
          <w:spacing w:val="-6"/>
          <w:sz w:val="24"/>
          <w:szCs w:val="24"/>
        </w:rPr>
      </w:pPr>
      <w:r>
        <w:rPr>
          <w:rFonts w:hint="eastAsia" w:ascii="宋体" w:hAnsi="宋体"/>
          <w:spacing w:val="-6"/>
          <w:sz w:val="24"/>
          <w:szCs w:val="24"/>
        </w:rPr>
        <w:t>我______</w:t>
      </w:r>
      <w:r>
        <w:rPr>
          <w:rFonts w:hint="eastAsia" w:ascii="宋体" w:hAnsi="宋体"/>
          <w:spacing w:val="-6"/>
          <w:sz w:val="24"/>
          <w:szCs w:val="24"/>
          <w:u w:val="single"/>
        </w:rPr>
        <w:t>_     _</w:t>
      </w:r>
      <w:r>
        <w:rPr>
          <w:rFonts w:hint="eastAsia" w:ascii="宋体" w:hAnsi="宋体"/>
          <w:spacing w:val="-6"/>
          <w:sz w:val="24"/>
          <w:szCs w:val="24"/>
        </w:rPr>
        <w:t>_（姓名）系______</w:t>
      </w:r>
      <w:r>
        <w:rPr>
          <w:rFonts w:hint="eastAsia" w:ascii="宋体" w:hAnsi="宋体"/>
          <w:spacing w:val="-6"/>
          <w:sz w:val="24"/>
          <w:szCs w:val="24"/>
          <w:u w:val="single"/>
        </w:rPr>
        <w:t>_     _</w:t>
      </w:r>
      <w:r>
        <w:rPr>
          <w:rFonts w:hint="eastAsia" w:ascii="宋体" w:hAnsi="宋体"/>
          <w:spacing w:val="-6"/>
          <w:sz w:val="24"/>
          <w:szCs w:val="24"/>
        </w:rPr>
        <w:t xml:space="preserve">_（投标人名称）的法定代表人，现授权委托本单位在职职工 </w:t>
      </w:r>
      <w:r>
        <w:rPr>
          <w:rFonts w:hint="eastAsia" w:ascii="宋体" w:hAnsi="宋体"/>
          <w:spacing w:val="-6"/>
          <w:sz w:val="24"/>
          <w:szCs w:val="24"/>
          <w:u w:val="single"/>
        </w:rPr>
        <w:t xml:space="preserve">              </w:t>
      </w:r>
      <w:r>
        <w:rPr>
          <w:rFonts w:hint="eastAsia" w:ascii="宋体" w:hAnsi="宋体"/>
          <w:spacing w:val="-6"/>
          <w:sz w:val="24"/>
          <w:szCs w:val="24"/>
        </w:rPr>
        <w:t>（姓名）以我方的名义参加</w:t>
      </w:r>
      <w:r>
        <w:rPr>
          <w:rFonts w:hint="eastAsia" w:ascii="宋体" w:hAnsi="宋体"/>
          <w:spacing w:val="-6"/>
          <w:sz w:val="24"/>
          <w:szCs w:val="24"/>
          <w:u w:val="single"/>
          <w:lang w:val="en-US" w:eastAsia="zh-CN"/>
        </w:rPr>
        <w:t xml:space="preserve">       （项目名称）</w:t>
      </w:r>
      <w:r>
        <w:rPr>
          <w:rFonts w:hint="eastAsia" w:ascii="宋体" w:hAnsi="宋体" w:cs="宋体"/>
          <w:spacing w:val="-6"/>
          <w:sz w:val="24"/>
          <w:szCs w:val="24"/>
        </w:rPr>
        <w:t>的投</w:t>
      </w:r>
      <w:r>
        <w:rPr>
          <w:rFonts w:hint="eastAsia" w:ascii="宋体" w:hAnsi="宋体"/>
          <w:spacing w:val="-6"/>
          <w:sz w:val="24"/>
          <w:szCs w:val="24"/>
        </w:rPr>
        <w:t>标活动，并代表我方全权办理针对上述项目的投标、开标、磋商、签约等具体事务和签署相关文件。</w:t>
      </w:r>
    </w:p>
    <w:p>
      <w:pPr>
        <w:snapToGrid w:val="0"/>
        <w:spacing w:line="360" w:lineRule="auto"/>
        <w:rPr>
          <w:rFonts w:ascii="宋体" w:hAnsi="宋体"/>
          <w:spacing w:val="-6"/>
          <w:sz w:val="24"/>
          <w:szCs w:val="24"/>
        </w:rPr>
      </w:pPr>
      <w:r>
        <w:rPr>
          <w:rFonts w:hint="eastAsia" w:ascii="宋体" w:hAnsi="宋体"/>
          <w:spacing w:val="-6"/>
          <w:sz w:val="24"/>
          <w:szCs w:val="24"/>
        </w:rPr>
        <w:t xml:space="preserve">     我方对被授权人的签名负全部责任。</w:t>
      </w:r>
    </w:p>
    <w:p>
      <w:pPr>
        <w:snapToGrid w:val="0"/>
        <w:spacing w:line="360" w:lineRule="auto"/>
        <w:ind w:firstLine="480"/>
        <w:rPr>
          <w:rFonts w:ascii="宋体" w:hAnsi="宋体"/>
          <w:spacing w:val="-6"/>
          <w:sz w:val="24"/>
          <w:szCs w:val="24"/>
        </w:rPr>
      </w:pPr>
      <w:r>
        <w:rPr>
          <w:rFonts w:hint="eastAsia" w:ascii="宋体" w:hAnsi="宋体"/>
          <w:spacing w:val="-6"/>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pacing w:val="-6"/>
          <w:sz w:val="24"/>
          <w:szCs w:val="24"/>
        </w:rPr>
      </w:pPr>
      <w:r>
        <w:rPr>
          <w:rFonts w:hint="eastAsia" w:ascii="宋体" w:hAnsi="宋体"/>
          <w:spacing w:val="-6"/>
          <w:sz w:val="24"/>
          <w:szCs w:val="24"/>
        </w:rPr>
        <w:t>被授权人无转委托权，特此委托。</w:t>
      </w:r>
    </w:p>
    <w:p>
      <w:pPr>
        <w:snapToGrid w:val="0"/>
        <w:spacing w:before="156" w:beforeLines="50" w:after="50" w:line="360" w:lineRule="auto"/>
        <w:rPr>
          <w:rFonts w:ascii="宋体" w:hAnsi="宋体"/>
          <w:spacing w:val="-6"/>
          <w:sz w:val="24"/>
          <w:szCs w:val="24"/>
        </w:rPr>
      </w:pPr>
    </w:p>
    <w:p>
      <w:pPr>
        <w:snapToGrid w:val="0"/>
        <w:spacing w:before="156" w:beforeLines="50" w:after="50" w:line="360" w:lineRule="auto"/>
        <w:rPr>
          <w:rFonts w:ascii="宋体" w:hAnsi="宋体"/>
          <w:spacing w:val="-6"/>
          <w:sz w:val="24"/>
          <w:szCs w:val="24"/>
          <w:u w:val="single"/>
        </w:rPr>
      </w:pPr>
      <w:r>
        <w:rPr>
          <w:rFonts w:hint="eastAsia" w:ascii="宋体" w:hAnsi="宋体"/>
          <w:spacing w:val="-6"/>
          <w:sz w:val="24"/>
          <w:szCs w:val="24"/>
        </w:rPr>
        <w:t>被授权人签名：</w:t>
      </w:r>
      <w:r>
        <w:rPr>
          <w:rFonts w:hint="eastAsia" w:ascii="宋体" w:hAnsi="宋体"/>
          <w:spacing w:val="-6"/>
          <w:sz w:val="24"/>
          <w:szCs w:val="24"/>
          <w:u w:val="single"/>
        </w:rPr>
        <w:t xml:space="preserve">          </w:t>
      </w:r>
      <w:r>
        <w:rPr>
          <w:rFonts w:hint="eastAsia" w:ascii="宋体" w:hAnsi="宋体"/>
          <w:spacing w:val="-6"/>
          <w:sz w:val="24"/>
          <w:szCs w:val="24"/>
        </w:rPr>
        <w:t xml:space="preserve">                 法定代表人签名：</w:t>
      </w:r>
      <w:r>
        <w:rPr>
          <w:rFonts w:hint="eastAsia" w:ascii="宋体" w:hAnsi="宋体"/>
          <w:spacing w:val="-6"/>
          <w:sz w:val="24"/>
          <w:szCs w:val="24"/>
          <w:u w:val="single"/>
        </w:rPr>
        <w:t xml:space="preserve">          </w:t>
      </w:r>
    </w:p>
    <w:p>
      <w:pPr>
        <w:snapToGrid w:val="0"/>
        <w:spacing w:before="156" w:beforeLines="50" w:after="50" w:line="360" w:lineRule="auto"/>
        <w:ind w:firstLine="912" w:firstLineChars="400"/>
        <w:rPr>
          <w:rFonts w:ascii="宋体" w:hAnsi="宋体"/>
          <w:spacing w:val="-6"/>
          <w:sz w:val="24"/>
          <w:szCs w:val="24"/>
        </w:rPr>
      </w:pPr>
      <w:r>
        <w:rPr>
          <w:rFonts w:hint="eastAsia" w:ascii="宋体" w:hAnsi="宋体"/>
          <w:spacing w:val="-6"/>
          <w:sz w:val="24"/>
          <w:szCs w:val="24"/>
        </w:rPr>
        <w:t>职务：</w:t>
      </w:r>
      <w:r>
        <w:rPr>
          <w:rFonts w:hint="eastAsia" w:ascii="宋体" w:hAnsi="宋体"/>
          <w:spacing w:val="-6"/>
          <w:sz w:val="24"/>
          <w:szCs w:val="24"/>
          <w:u w:val="single"/>
        </w:rPr>
        <w:t xml:space="preserve">           </w:t>
      </w:r>
      <w:r>
        <w:rPr>
          <w:rFonts w:hint="eastAsia" w:ascii="宋体" w:hAnsi="宋体"/>
          <w:spacing w:val="-6"/>
          <w:sz w:val="24"/>
          <w:szCs w:val="24"/>
        </w:rPr>
        <w:t xml:space="preserve">                          职务：</w:t>
      </w:r>
      <w:r>
        <w:rPr>
          <w:rFonts w:hint="eastAsia" w:ascii="宋体" w:hAnsi="宋体"/>
          <w:spacing w:val="-6"/>
          <w:sz w:val="24"/>
          <w:szCs w:val="24"/>
          <w:u w:val="single"/>
        </w:rPr>
        <w:t xml:space="preserve">           </w:t>
      </w:r>
    </w:p>
    <w:p>
      <w:pPr>
        <w:snapToGrid w:val="0"/>
        <w:spacing w:before="156" w:beforeLines="50" w:after="50" w:line="360" w:lineRule="auto"/>
        <w:rPr>
          <w:rFonts w:ascii="宋体" w:hAnsi="宋体"/>
          <w:spacing w:val="-6"/>
          <w:sz w:val="24"/>
          <w:szCs w:val="24"/>
        </w:rPr>
      </w:pPr>
    </w:p>
    <w:p>
      <w:pPr>
        <w:snapToGrid w:val="0"/>
        <w:spacing w:before="156" w:beforeLines="50" w:after="50" w:line="360" w:lineRule="auto"/>
        <w:rPr>
          <w:rFonts w:ascii="宋体" w:hAnsi="宋体"/>
          <w:spacing w:val="-6"/>
          <w:sz w:val="24"/>
          <w:szCs w:val="24"/>
        </w:rPr>
      </w:pPr>
      <w:r>
        <w:rPr>
          <w:rFonts w:hint="eastAsia" w:ascii="宋体" w:hAnsi="宋体"/>
          <w:spacing w:val="-6"/>
          <w:sz w:val="24"/>
          <w:szCs w:val="24"/>
        </w:rPr>
        <w:t xml:space="preserve">                                    投标人名称（盖章）：</w:t>
      </w:r>
    </w:p>
    <w:p>
      <w:pPr>
        <w:snapToGrid w:val="0"/>
        <w:spacing w:before="156" w:beforeLines="50" w:after="50" w:line="360" w:lineRule="auto"/>
        <w:jc w:val="center"/>
        <w:rPr>
          <w:rFonts w:ascii="宋体" w:hAnsi="宋体"/>
          <w:spacing w:val="-6"/>
          <w:sz w:val="24"/>
          <w:szCs w:val="24"/>
        </w:rPr>
      </w:pPr>
      <w:r>
        <w:rPr>
          <w:rFonts w:hint="eastAsia" w:ascii="宋体" w:hAnsi="宋体"/>
          <w:spacing w:val="-6"/>
          <w:sz w:val="24"/>
          <w:szCs w:val="24"/>
        </w:rPr>
        <w:t xml:space="preserve">                                        年    月    日</w:t>
      </w:r>
    </w:p>
    <w:p>
      <w:pPr>
        <w:spacing w:line="360" w:lineRule="auto"/>
        <w:rPr>
          <w:rFonts w:ascii="宋体" w:hAnsi="宋体"/>
          <w:spacing w:val="-6"/>
          <w:sz w:val="24"/>
          <w:szCs w:val="24"/>
        </w:rPr>
      </w:pPr>
      <w:r>
        <w:rPr>
          <w:rFonts w:ascii="宋体" w:hAnsi="宋体"/>
          <w:spacing w:val="-6"/>
          <w:sz w:val="24"/>
          <w:szCs w:val="24"/>
        </w:rPr>
        <mc:AlternateContent>
          <mc:Choice Requires="wps">
            <w:drawing>
              <wp:anchor distT="0" distB="0" distL="114300" distR="114300" simplePos="0" relativeHeight="251660288" behindDoc="0" locked="0" layoutInCell="1" allowOverlap="1">
                <wp:simplePos x="0" y="0"/>
                <wp:positionH relativeFrom="column">
                  <wp:posOffset>3108325</wp:posOffset>
                </wp:positionH>
                <wp:positionV relativeFrom="paragraph">
                  <wp:posOffset>148590</wp:posOffset>
                </wp:positionV>
                <wp:extent cx="3023235" cy="2360295"/>
                <wp:effectExtent l="4445" t="4445" r="20320" b="16510"/>
                <wp:wrapNone/>
                <wp:docPr id="2" name="文本框 4"/>
                <wp:cNvGraphicFramePr/>
                <a:graphic xmlns:a="http://schemas.openxmlformats.org/drawingml/2006/main">
                  <a:graphicData uri="http://schemas.microsoft.com/office/word/2010/wordprocessingShape">
                    <wps:wsp>
                      <wps:cNvSpPr txBox="1"/>
                      <wps:spPr>
                        <a:xfrm>
                          <a:off x="0" y="0"/>
                          <a:ext cx="302323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wps:txbx>
                      <wps:bodyPr wrap="square" upright="1"/>
                    </wps:wsp>
                  </a:graphicData>
                </a:graphic>
              </wp:anchor>
            </w:drawing>
          </mc:Choice>
          <mc:Fallback>
            <w:pict>
              <v:shape id="文本框 4" o:spid="_x0000_s1026" o:spt="202" type="#_x0000_t202" style="position:absolute;left:0pt;margin-left:244.75pt;margin-top:11.7pt;height:185.85pt;width:238.05pt;z-index:251660288;mso-width-relative:page;mso-height-relative:page;" fillcolor="#FFFFFF" filled="t" stroked="t" coordsize="21600,21600" o:gfxdata="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B9HLvaAAAACgEAAA8A&#10;AAAAAAAAAQAgAAAAIgAAAGRycy9kb3ducmV2LnhtbFBLAQIUABQAAAAIAIdO4kCqtCPhFQIAAEUE&#10;AAAOAAAAAAAAAAEAIAAAACkBAABkcnMvZTJvRG9jLnhtbFBLBQYAAAAABgAGAFkBAACw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v:textbox>
              </v:shape>
            </w:pict>
          </mc:Fallback>
        </mc:AlternateContent>
      </w:r>
      <w:r>
        <w:rPr>
          <w:rFonts w:ascii="宋体" w:hAnsi="宋体"/>
          <w:spacing w:val="-6"/>
          <w:sz w:val="24"/>
          <w:szCs w:val="24"/>
        </w:rPr>
        <mc:AlternateContent>
          <mc:Choice Requires="wps">
            <w:drawing>
              <wp:anchor distT="0" distB="0" distL="114300" distR="114300" simplePos="0" relativeHeight="251659264" behindDoc="0" locked="0" layoutInCell="1" allowOverlap="1">
                <wp:simplePos x="0" y="0"/>
                <wp:positionH relativeFrom="column">
                  <wp:posOffset>-155575</wp:posOffset>
                </wp:positionH>
                <wp:positionV relativeFrom="paragraph">
                  <wp:posOffset>148590</wp:posOffset>
                </wp:positionV>
                <wp:extent cx="3062605" cy="2360295"/>
                <wp:effectExtent l="4445" t="4445" r="19050" b="16510"/>
                <wp:wrapNone/>
                <wp:docPr id="1" name="Text Box 3"/>
                <wp:cNvGraphicFramePr/>
                <a:graphic xmlns:a="http://schemas.openxmlformats.org/drawingml/2006/main">
                  <a:graphicData uri="http://schemas.microsoft.com/office/word/2010/wordprocessingShape">
                    <wps:wsp>
                      <wps:cNvSpPr txBox="1"/>
                      <wps:spPr>
                        <a:xfrm>
                          <a:off x="0" y="0"/>
                          <a:ext cx="306260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wps:txbx>
                      <wps:bodyPr wrap="square" upright="1"/>
                    </wps:wsp>
                  </a:graphicData>
                </a:graphic>
              </wp:anchor>
            </w:drawing>
          </mc:Choice>
          <mc:Fallback>
            <w:pict>
              <v:shape id="Text Box 3" o:spid="_x0000_s1026" o:spt="202" type="#_x0000_t202" style="position:absolute;left:0pt;margin-left:-12.25pt;margin-top:11.7pt;height:185.85pt;width:241.15pt;z-index:251659264;mso-width-relative:page;mso-height-relative:page;" fillcolor="#FFFFFF" filled="t" stroked="t" coordsize="21600,21600" o:gfxdata="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AuvSnZAAAACgEAAA8AAAAAAAAAAQAgAAAAIgAAAGRy&#10;cy9kb3ducmV2LnhtbFBLAQIUABQAAAAIAIdO4kCZS6dfBAIAAEQEAAAOAAAAAAAAAAEAIAAAACgB&#10;AABkcnMvZTJvRG9jLnhtbFBLBQYAAAAABgAGAFkBAACe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v:textbox>
              </v:shape>
            </w:pict>
          </mc:Fallback>
        </mc:AlternateContent>
      </w:r>
    </w:p>
    <w:p>
      <w:pPr>
        <w:spacing w:line="360" w:lineRule="auto"/>
        <w:rPr>
          <w:rFonts w:ascii="宋体" w:hAnsi="宋体"/>
          <w:spacing w:val="-6"/>
          <w:sz w:val="24"/>
          <w:szCs w:val="24"/>
        </w:rPr>
      </w:pPr>
    </w:p>
    <w:p>
      <w:pPr>
        <w:spacing w:line="360" w:lineRule="auto"/>
        <w:rPr>
          <w:rFonts w:ascii="宋体" w:hAnsi="宋体"/>
          <w:spacing w:val="-6"/>
          <w:sz w:val="24"/>
          <w:szCs w:val="24"/>
        </w:rPr>
      </w:pPr>
    </w:p>
    <w:p>
      <w:pPr>
        <w:adjustRightInd w:val="0"/>
        <w:snapToGrid w:val="0"/>
        <w:spacing w:line="300" w:lineRule="auto"/>
        <w:rPr>
          <w:rFonts w:ascii="宋体" w:hAnsi="宋体"/>
          <w:spacing w:val="-6"/>
          <w:sz w:val="24"/>
          <w:szCs w:val="24"/>
        </w:rPr>
      </w:pPr>
      <w:r>
        <w:rPr>
          <w:rFonts w:hint="eastAsia" w:ascii="宋体" w:hAnsi="宋体"/>
          <w:spacing w:val="-6"/>
          <w:sz w:val="24"/>
          <w:szCs w:val="24"/>
        </w:rPr>
        <w:t xml:space="preserve"> </w:t>
      </w:r>
    </w:p>
    <w:p>
      <w:pPr>
        <w:pStyle w:val="16"/>
        <w:snapToGrid w:val="0"/>
        <w:spacing w:beforeLines="0" w:afterLines="0" w:line="360" w:lineRule="auto"/>
        <w:jc w:val="left"/>
        <w:rPr>
          <w:rFonts w:hAnsi="宋体"/>
          <w:szCs w:val="24"/>
        </w:rPr>
      </w:pPr>
    </w:p>
    <w:p>
      <w:pPr>
        <w:pStyle w:val="16"/>
        <w:snapToGrid w:val="0"/>
        <w:spacing w:beforeLines="0" w:afterLines="0" w:line="360" w:lineRule="auto"/>
        <w:jc w:val="left"/>
        <w:rPr>
          <w:rFonts w:hAnsi="宋体"/>
          <w:szCs w:val="24"/>
        </w:rPr>
      </w:pPr>
    </w:p>
    <w:p>
      <w:pPr>
        <w:pStyle w:val="16"/>
        <w:snapToGrid w:val="0"/>
        <w:spacing w:beforeLines="0" w:afterLines="0" w:line="360" w:lineRule="auto"/>
        <w:jc w:val="left"/>
        <w:rPr>
          <w:rFonts w:hAnsi="宋体"/>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rPr>
      </w:pPr>
      <w:r>
        <w:rPr>
          <w:rFonts w:hint="eastAsia" w:ascii="宋体" w:hAnsi="宋体"/>
          <w:b/>
          <w:spacing w:val="-6"/>
          <w:sz w:val="24"/>
        </w:rPr>
        <w:t>投标人一般情况表</w:t>
      </w:r>
    </w:p>
    <w:tbl>
      <w:tblPr>
        <w:tblStyle w:val="27"/>
        <w:tblpPr w:leftFromText="180" w:rightFromText="180" w:vertAnchor="text" w:horzAnchor="page" w:tblpX="1836" w:tblpY="357"/>
        <w:tblOverlap w:val="never"/>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1</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2</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3</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4</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电话：</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5</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传真：</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6</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注册地：</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7</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8</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9</w:t>
            </w:r>
          </w:p>
        </w:tc>
        <w:tc>
          <w:tcPr>
            <w:tcW w:w="2520" w:type="dxa"/>
            <w:noWrap w:val="0"/>
            <w:vAlign w:val="center"/>
          </w:tcPr>
          <w:p>
            <w:pPr>
              <w:spacing w:line="360" w:lineRule="auto"/>
              <w:rPr>
                <w:rFonts w:ascii="宋体" w:hAnsi="宋体"/>
                <w:spacing w:val="-6"/>
                <w:sz w:val="24"/>
                <w:szCs w:val="24"/>
              </w:rPr>
            </w:pPr>
            <w:r>
              <w:rPr>
                <w:rFonts w:hint="eastAsia" w:ascii="宋体" w:hAnsi="宋体"/>
                <w:spacing w:val="-6"/>
                <w:sz w:val="24"/>
                <w:szCs w:val="24"/>
              </w:rPr>
              <w:t>作为承包人经历年数：</w:t>
            </w:r>
          </w:p>
        </w:tc>
        <w:tc>
          <w:tcPr>
            <w:tcW w:w="5627" w:type="dxa"/>
            <w:gridSpan w:val="2"/>
            <w:noWrap w:val="0"/>
            <w:vAlign w:val="center"/>
          </w:tcPr>
          <w:p>
            <w:pPr>
              <w:spacing w:line="360" w:lineRule="auto"/>
              <w:rPr>
                <w:rFonts w:ascii="宋体" w:hAnsi="宋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10</w:t>
            </w:r>
          </w:p>
        </w:tc>
        <w:tc>
          <w:tcPr>
            <w:tcW w:w="2520" w:type="dxa"/>
            <w:noWrap w:val="0"/>
            <w:vAlign w:val="center"/>
          </w:tcPr>
          <w:p>
            <w:pPr>
              <w:spacing w:line="360" w:lineRule="auto"/>
              <w:rPr>
                <w:rFonts w:ascii="宋体" w:hAnsi="宋体"/>
                <w:spacing w:val="-6"/>
                <w:sz w:val="24"/>
                <w:szCs w:val="24"/>
              </w:rPr>
            </w:pPr>
            <w:r>
              <w:rPr>
                <w:rFonts w:hint="eastAsia" w:ascii="宋体" w:hAnsi="宋体"/>
                <w:spacing w:val="-6"/>
                <w:sz w:val="24"/>
                <w:szCs w:val="24"/>
              </w:rPr>
              <w:t>其他需要说明的情况</w:t>
            </w:r>
          </w:p>
        </w:tc>
        <w:tc>
          <w:tcPr>
            <w:tcW w:w="5627" w:type="dxa"/>
            <w:gridSpan w:val="2"/>
            <w:noWrap w:val="0"/>
            <w:vAlign w:val="center"/>
          </w:tcPr>
          <w:p>
            <w:pPr>
              <w:spacing w:line="360" w:lineRule="auto"/>
              <w:rPr>
                <w:rFonts w:ascii="宋体" w:hAnsi="宋体"/>
                <w:spacing w:val="-6"/>
                <w:sz w:val="24"/>
                <w:szCs w:val="24"/>
              </w:rPr>
            </w:pPr>
          </w:p>
          <w:p>
            <w:pPr>
              <w:spacing w:line="360" w:lineRule="auto"/>
              <w:rPr>
                <w:rFonts w:ascii="宋体" w:hAnsi="宋体"/>
                <w:spacing w:val="-6"/>
                <w:sz w:val="24"/>
                <w:szCs w:val="24"/>
              </w:rPr>
            </w:pPr>
          </w:p>
          <w:p>
            <w:pPr>
              <w:spacing w:line="360" w:lineRule="auto"/>
              <w:rPr>
                <w:rFonts w:ascii="宋体" w:hAnsi="宋体"/>
                <w:spacing w:val="-6"/>
                <w:sz w:val="24"/>
                <w:szCs w:val="24"/>
              </w:rPr>
            </w:pPr>
          </w:p>
        </w:tc>
      </w:tr>
    </w:tbl>
    <w:p>
      <w:pPr>
        <w:spacing w:line="360" w:lineRule="auto"/>
        <w:rPr>
          <w:rFonts w:ascii="宋体" w:hAnsi="宋体"/>
          <w:spacing w:val="-6"/>
        </w:rPr>
      </w:pPr>
    </w:p>
    <w:p>
      <w:pPr>
        <w:spacing w:line="360" w:lineRule="auto"/>
        <w:ind w:firstLine="573"/>
        <w:rPr>
          <w:rFonts w:ascii="宋体" w:hAnsi="宋体"/>
          <w:spacing w:val="-6"/>
          <w:sz w:val="24"/>
          <w:szCs w:val="24"/>
        </w:rPr>
      </w:pPr>
    </w:p>
    <w:p>
      <w:pPr>
        <w:spacing w:line="360" w:lineRule="auto"/>
        <w:ind w:firstLine="228" w:firstLineChars="100"/>
        <w:rPr>
          <w:rFonts w:hint="eastAsia" w:ascii="宋体" w:hAnsi="宋体"/>
          <w:spacing w:val="-6"/>
          <w:sz w:val="24"/>
          <w:szCs w:val="24"/>
        </w:rPr>
      </w:pPr>
      <w:r>
        <w:rPr>
          <w:rFonts w:hint="eastAsia" w:ascii="宋体" w:hAnsi="宋体"/>
          <w:spacing w:val="-6"/>
          <w:sz w:val="24"/>
          <w:szCs w:val="24"/>
        </w:rPr>
        <w:t>说明：所有投标申请人都须填写此表。</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ind w:left="540" w:firstLine="30"/>
        <w:jc w:val="center"/>
        <w:rPr>
          <w:rFonts w:ascii="宋体" w:hAnsi="宋体"/>
          <w:spacing w:val="-6"/>
          <w:sz w:val="24"/>
          <w:szCs w:val="24"/>
        </w:rPr>
      </w:pPr>
      <w:r>
        <w:rPr>
          <w:rFonts w:hint="eastAsia" w:ascii="宋体" w:hAnsi="宋体"/>
          <w:spacing w:val="-6"/>
          <w:sz w:val="24"/>
          <w:szCs w:val="24"/>
        </w:rPr>
        <w:t xml:space="preserve">           授权代表签字：</w:t>
      </w:r>
    </w:p>
    <w:p>
      <w:pPr>
        <w:spacing w:line="360" w:lineRule="auto"/>
        <w:ind w:left="540" w:firstLine="5068"/>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投标人名称（盖章）：</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日期：    年   月  日</w:t>
      </w:r>
    </w:p>
    <w:p>
      <w:pPr>
        <w:pStyle w:val="16"/>
        <w:snapToGrid w:val="0"/>
        <w:spacing w:beforeLines="0" w:afterLines="0" w:line="360" w:lineRule="auto"/>
        <w:jc w:val="left"/>
        <w:rPr>
          <w:rFonts w:hAnsi="宋体"/>
          <w:szCs w:val="24"/>
        </w:rPr>
      </w:pPr>
    </w:p>
    <w:p>
      <w:pPr>
        <w:pStyle w:val="16"/>
        <w:snapToGrid w:val="0"/>
        <w:spacing w:beforeLines="0" w:afterLines="0" w:line="360" w:lineRule="auto"/>
        <w:jc w:val="left"/>
        <w:rPr>
          <w:rFonts w:hAnsi="宋体"/>
          <w:spacing w:val="-6"/>
        </w:rPr>
      </w:pPr>
      <w:r>
        <w:rPr>
          <w:rFonts w:hint="eastAsia" w:hAnsi="宋体"/>
          <w:spacing w:val="-6"/>
        </w:rPr>
        <w:t xml:space="preserve"> </w:t>
      </w:r>
    </w:p>
    <w:p>
      <w:pPr>
        <w:pStyle w:val="39"/>
        <w:ind w:firstLine="0" w:firstLineChars="0"/>
        <w:rPr>
          <w:rFonts w:hint="eastAsia" w:hAnsi="宋体" w:eastAsia="宋体"/>
          <w:sz w:val="24"/>
          <w:szCs w:val="24"/>
        </w:rPr>
      </w:pPr>
    </w:p>
    <w:bookmarkEnd w:id="124"/>
    <w:p>
      <w:pPr>
        <w:jc w:val="center"/>
        <w:rPr>
          <w:rStyle w:val="64"/>
          <w:rFonts w:ascii="华文中宋" w:hAnsi="华文中宋" w:eastAsia="华文中宋"/>
          <w:b w:val="0"/>
          <w:color w:val="auto"/>
          <w:sz w:val="28"/>
          <w:szCs w:val="28"/>
        </w:rPr>
      </w:pPr>
      <w:bookmarkStart w:id="125" w:name="_Toc513029276"/>
      <w:bookmarkStart w:id="126" w:name="_Toc26554095"/>
      <w:bookmarkStart w:id="127" w:name="_Toc120614283"/>
      <w:bookmarkStart w:id="128" w:name="_Toc23828478"/>
      <w:bookmarkStart w:id="129" w:name="_Toc22356580"/>
      <w:bookmarkStart w:id="130" w:name="_Toc460901585"/>
      <w:bookmarkStart w:id="131" w:name="_Toc49090577"/>
      <w:r>
        <w:rPr>
          <w:rFonts w:hint="eastAsia" w:ascii="华文中宋" w:hAnsi="华文中宋" w:eastAsia="华文中宋"/>
          <w:b/>
          <w:spacing w:val="-6"/>
          <w:szCs w:val="28"/>
        </w:rPr>
        <w:t>四、</w:t>
      </w:r>
      <w:r>
        <w:rPr>
          <w:rStyle w:val="64"/>
          <w:rFonts w:hint="eastAsia" w:ascii="华文中宋" w:hAnsi="华文中宋" w:eastAsia="华文中宋"/>
          <w:color w:val="auto"/>
          <w:sz w:val="28"/>
          <w:szCs w:val="28"/>
        </w:rPr>
        <w:t>磋商函格式</w:t>
      </w:r>
    </w:p>
    <w:bookmarkEnd w:id="125"/>
    <w:bookmarkEnd w:id="126"/>
    <w:bookmarkEnd w:id="127"/>
    <w:bookmarkEnd w:id="128"/>
    <w:bookmarkEnd w:id="129"/>
    <w:bookmarkEnd w:id="130"/>
    <w:bookmarkEnd w:id="131"/>
    <w:p>
      <w:pPr>
        <w:tabs>
          <w:tab w:val="left" w:pos="5580"/>
        </w:tabs>
        <w:spacing w:line="480" w:lineRule="exact"/>
        <w:rPr>
          <w:rStyle w:val="64"/>
          <w:rFonts w:hAnsi="宋体"/>
          <w:color w:val="auto"/>
        </w:rPr>
      </w:pPr>
    </w:p>
    <w:p>
      <w:pPr>
        <w:rPr>
          <w:rFonts w:ascii="仿宋_GB2312" w:hAnsi="宋体" w:eastAsia="仿宋_GB2312"/>
          <w:sz w:val="24"/>
          <w:szCs w:val="24"/>
        </w:rPr>
      </w:pPr>
      <w:r>
        <w:rPr>
          <w:rFonts w:hint="eastAsia" w:ascii="仿宋_GB2312" w:hAnsi="宋体" w:eastAsia="仿宋_GB2312"/>
          <w:sz w:val="24"/>
          <w:szCs w:val="24"/>
        </w:rPr>
        <w:t>致：皖南医学院</w:t>
      </w:r>
    </w:p>
    <w:p>
      <w:pPr>
        <w:ind w:firstLine="480" w:firstLineChars="200"/>
        <w:rPr>
          <w:rFonts w:ascii="仿宋_GB2312" w:hAnsi="宋体" w:eastAsia="仿宋_GB2312"/>
          <w:sz w:val="24"/>
          <w:szCs w:val="24"/>
        </w:rPr>
      </w:pPr>
      <w:r>
        <w:rPr>
          <w:rFonts w:hint="eastAsia" w:ascii="仿宋_GB2312" w:hAnsi="宋体" w:eastAsia="仿宋_GB2312"/>
          <w:sz w:val="24"/>
          <w:szCs w:val="24"/>
        </w:rPr>
        <w:t>根据贵方的</w:t>
      </w:r>
      <w:r>
        <w:rPr>
          <w:rFonts w:hint="eastAsia" w:ascii="仿宋_GB2312" w:hAnsi="宋体" w:eastAsia="仿宋_GB2312"/>
          <w:kern w:val="0"/>
          <w:sz w:val="24"/>
          <w:szCs w:val="24"/>
        </w:rPr>
        <w:t>皖南医学院</w:t>
      </w:r>
      <w:r>
        <w:rPr>
          <w:rFonts w:hint="eastAsia" w:ascii="仿宋_GB2312" w:hAnsi="宋体" w:eastAsia="仿宋_GB2312"/>
          <w:sz w:val="24"/>
          <w:szCs w:val="24"/>
        </w:rPr>
        <w:t>磋商文件，正式授权下述签_______________(姓名和职务)代表我方______________（供应商的名称），全权处理本次项目磋商的有关事宜。</w:t>
      </w:r>
    </w:p>
    <w:p>
      <w:pPr>
        <w:ind w:firstLine="480" w:firstLineChars="200"/>
        <w:rPr>
          <w:rFonts w:ascii="仿宋_GB2312" w:hAnsi="宋体" w:eastAsia="仿宋_GB2312"/>
          <w:sz w:val="24"/>
          <w:szCs w:val="24"/>
        </w:rPr>
      </w:pPr>
      <w:r>
        <w:rPr>
          <w:rFonts w:hint="eastAsia" w:ascii="仿宋_GB2312" w:hAnsi="宋体" w:eastAsia="仿宋_GB2312"/>
          <w:sz w:val="24"/>
          <w:szCs w:val="24"/>
        </w:rPr>
        <w:t>据此函，__________（签字人）兹宣布同意如下：</w:t>
      </w:r>
    </w:p>
    <w:p>
      <w:pPr>
        <w:ind w:firstLine="480" w:firstLineChars="200"/>
        <w:rPr>
          <w:rFonts w:ascii="仿宋_GB2312" w:hAnsi="宋体" w:eastAsia="仿宋_GB2312"/>
          <w:sz w:val="24"/>
          <w:szCs w:val="24"/>
        </w:rPr>
      </w:pPr>
      <w:r>
        <w:rPr>
          <w:rFonts w:hint="eastAsia" w:ascii="仿宋_GB2312" w:hAnsi="宋体" w:eastAsia="仿宋_GB2312"/>
          <w:sz w:val="24"/>
          <w:szCs w:val="24"/>
        </w:rPr>
        <w:t>1.按磋商文件规定的各项要求，向买方提供所需货物与服务。</w:t>
      </w:r>
    </w:p>
    <w:p>
      <w:pPr>
        <w:ind w:firstLine="480" w:firstLineChars="200"/>
        <w:rPr>
          <w:rFonts w:ascii="仿宋_GB2312" w:hAnsi="宋体" w:eastAsia="仿宋_GB2312"/>
          <w:sz w:val="24"/>
          <w:szCs w:val="24"/>
        </w:rPr>
      </w:pPr>
      <w:r>
        <w:rPr>
          <w:rFonts w:hint="eastAsia" w:ascii="仿宋_GB2312" w:hAnsi="宋体" w:eastAsia="仿宋_GB2312"/>
          <w:sz w:val="24"/>
          <w:szCs w:val="24"/>
        </w:rPr>
        <w:t>2.我们完全理解贵方不一定将合同授予最低报价的供应商。</w:t>
      </w:r>
    </w:p>
    <w:p>
      <w:pPr>
        <w:ind w:firstLine="480" w:firstLineChars="200"/>
        <w:rPr>
          <w:rFonts w:ascii="仿宋_GB2312" w:hAnsi="宋体" w:eastAsia="仿宋_GB2312"/>
          <w:sz w:val="24"/>
          <w:szCs w:val="24"/>
        </w:rPr>
      </w:pPr>
      <w:r>
        <w:rPr>
          <w:rFonts w:hint="eastAsia" w:ascii="仿宋_GB2312" w:hAnsi="宋体" w:eastAsia="仿宋_GB2312"/>
          <w:sz w:val="24"/>
          <w:szCs w:val="24"/>
        </w:rPr>
        <w:t>3.我们已详细审核全部磋商文件及其有效补充文件，我们知道必须放弃提出含糊不清或误解问题的权利。</w:t>
      </w:r>
    </w:p>
    <w:p>
      <w:pPr>
        <w:ind w:firstLine="480" w:firstLineChars="200"/>
        <w:rPr>
          <w:rFonts w:ascii="仿宋_GB2312" w:hAnsi="宋体" w:eastAsia="仿宋_GB2312"/>
          <w:sz w:val="24"/>
          <w:szCs w:val="24"/>
        </w:rPr>
      </w:pPr>
      <w:r>
        <w:rPr>
          <w:rFonts w:hint="eastAsia" w:ascii="仿宋_GB2312" w:hAnsi="宋体" w:eastAsia="仿宋_GB2312"/>
          <w:sz w:val="24"/>
          <w:szCs w:val="24"/>
        </w:rPr>
        <w:t>4.我们同意从规定的响应文件开启时间起遵循本响应文件。</w:t>
      </w:r>
    </w:p>
    <w:p>
      <w:pPr>
        <w:ind w:firstLine="480" w:firstLineChars="200"/>
        <w:rPr>
          <w:rFonts w:ascii="仿宋_GB2312" w:hAnsi="宋体" w:eastAsia="仿宋_GB2312"/>
          <w:sz w:val="24"/>
          <w:szCs w:val="24"/>
        </w:rPr>
      </w:pPr>
      <w:r>
        <w:rPr>
          <w:rFonts w:hint="eastAsia" w:ascii="仿宋_GB2312" w:hAnsi="宋体" w:eastAsia="仿宋_GB2312"/>
          <w:sz w:val="24"/>
          <w:szCs w:val="24"/>
        </w:rPr>
        <w:t>5.如果在确定成交后拒绝签订合同，我们的磋商保证金可被贵方没收。</w:t>
      </w:r>
    </w:p>
    <w:p>
      <w:pPr>
        <w:ind w:firstLine="480" w:firstLineChars="200"/>
        <w:rPr>
          <w:rFonts w:ascii="仿宋_GB2312" w:hAnsi="宋体" w:eastAsia="仿宋_GB2312"/>
          <w:sz w:val="24"/>
          <w:szCs w:val="24"/>
        </w:rPr>
      </w:pPr>
      <w:r>
        <w:rPr>
          <w:rFonts w:hint="eastAsia" w:ascii="仿宋_GB2312" w:hAnsi="宋体" w:eastAsia="仿宋_GB2312"/>
          <w:sz w:val="24"/>
          <w:szCs w:val="24"/>
        </w:rPr>
        <w:t>6.同意向贵方提供贵方可能另外要求的与磋商有关的任何证据或资料，并保证我方已提供和将要提供的文件是真实的、准确的。</w:t>
      </w:r>
    </w:p>
    <w:p>
      <w:pPr>
        <w:ind w:firstLine="480" w:firstLineChars="200"/>
        <w:rPr>
          <w:rFonts w:ascii="仿宋_GB2312" w:hAnsi="宋体" w:eastAsia="仿宋_GB2312"/>
          <w:sz w:val="24"/>
          <w:szCs w:val="24"/>
        </w:rPr>
      </w:pPr>
      <w:r>
        <w:rPr>
          <w:rFonts w:hint="eastAsia" w:ascii="仿宋_GB2312" w:hAnsi="宋体" w:eastAsia="仿宋_GB2312"/>
          <w:sz w:val="24"/>
          <w:szCs w:val="24"/>
        </w:rPr>
        <w:t>7.一旦我方别确认成交,我方将根据磋商文件的规定，严格履行合同的责任和义务,并保证在磋商文件规定的时间完成项目，交付买方验收、使用。</w:t>
      </w:r>
    </w:p>
    <w:p>
      <w:pPr>
        <w:ind w:firstLine="480" w:firstLineChars="200"/>
        <w:rPr>
          <w:rFonts w:ascii="仿宋_GB2312" w:hAnsi="宋体" w:eastAsia="仿宋_GB2312"/>
          <w:sz w:val="24"/>
          <w:szCs w:val="24"/>
        </w:rPr>
      </w:pPr>
      <w:r>
        <w:rPr>
          <w:rFonts w:hint="eastAsia" w:ascii="仿宋_GB2312" w:hAnsi="宋体" w:eastAsia="仿宋_GB2312"/>
          <w:sz w:val="24"/>
          <w:szCs w:val="24"/>
        </w:rPr>
        <w:t>8.遵守磋商文件中要求的收费项目和标准。</w:t>
      </w:r>
    </w:p>
    <w:p>
      <w:pPr>
        <w:ind w:firstLine="480" w:firstLineChars="200"/>
        <w:rPr>
          <w:rFonts w:ascii="仿宋_GB2312" w:hAnsi="宋体" w:eastAsia="仿宋_GB2312"/>
          <w:sz w:val="24"/>
          <w:szCs w:val="24"/>
        </w:rPr>
      </w:pPr>
      <w:r>
        <w:rPr>
          <w:rFonts w:hint="eastAsia" w:ascii="仿宋_GB2312" w:hAnsi="宋体" w:eastAsia="仿宋_GB2312"/>
          <w:sz w:val="24"/>
          <w:szCs w:val="24"/>
        </w:rPr>
        <w:t>9.与本磋商有关的正式通讯地址为：</w:t>
      </w:r>
    </w:p>
    <w:p>
      <w:pPr>
        <w:ind w:firstLine="480" w:firstLineChars="200"/>
        <w:rPr>
          <w:rFonts w:ascii="仿宋_GB2312" w:hAnsi="宋体" w:eastAsia="仿宋_GB2312"/>
          <w:sz w:val="24"/>
          <w:szCs w:val="24"/>
        </w:rPr>
      </w:pPr>
      <w:r>
        <w:rPr>
          <w:rFonts w:hint="eastAsia" w:ascii="仿宋_GB2312" w:hAnsi="宋体" w:eastAsia="仿宋_GB2312"/>
          <w:sz w:val="24"/>
          <w:szCs w:val="24"/>
        </w:rPr>
        <w:t>地址：</w:t>
      </w:r>
    </w:p>
    <w:p>
      <w:pPr>
        <w:ind w:firstLine="480" w:firstLineChars="200"/>
        <w:rPr>
          <w:rFonts w:ascii="仿宋_GB2312" w:hAnsi="宋体" w:eastAsia="仿宋_GB2312"/>
          <w:sz w:val="24"/>
          <w:szCs w:val="24"/>
        </w:rPr>
      </w:pPr>
      <w:r>
        <w:rPr>
          <w:rFonts w:hint="eastAsia" w:ascii="仿宋_GB2312" w:hAnsi="宋体" w:eastAsia="仿宋_GB2312"/>
          <w:sz w:val="24"/>
          <w:szCs w:val="24"/>
        </w:rPr>
        <w:t>邮编：</w:t>
      </w:r>
    </w:p>
    <w:p>
      <w:pPr>
        <w:ind w:firstLine="480" w:firstLineChars="200"/>
        <w:rPr>
          <w:rFonts w:ascii="仿宋_GB2312" w:hAnsi="宋体" w:eastAsia="仿宋_GB2312"/>
          <w:sz w:val="24"/>
          <w:szCs w:val="24"/>
        </w:rPr>
      </w:pPr>
      <w:r>
        <w:rPr>
          <w:rFonts w:hint="eastAsia" w:ascii="仿宋_GB2312" w:hAnsi="宋体" w:eastAsia="仿宋_GB2312"/>
          <w:sz w:val="24"/>
          <w:szCs w:val="24"/>
        </w:rPr>
        <w:t>电话：</w:t>
      </w:r>
    </w:p>
    <w:p>
      <w:pPr>
        <w:ind w:firstLine="480" w:firstLineChars="200"/>
        <w:rPr>
          <w:rFonts w:ascii="仿宋_GB2312" w:hAnsi="宋体" w:eastAsia="仿宋_GB2312"/>
          <w:sz w:val="24"/>
          <w:szCs w:val="24"/>
        </w:rPr>
      </w:pPr>
      <w:r>
        <w:rPr>
          <w:rFonts w:hint="eastAsia" w:ascii="仿宋_GB2312" w:hAnsi="宋体" w:eastAsia="仿宋_GB2312"/>
          <w:sz w:val="24"/>
          <w:szCs w:val="24"/>
        </w:rPr>
        <w:t>传真：</w:t>
      </w:r>
    </w:p>
    <w:p>
      <w:pPr>
        <w:ind w:firstLine="480" w:firstLineChars="200"/>
        <w:rPr>
          <w:rFonts w:ascii="仿宋_GB2312" w:hAnsi="宋体" w:eastAsia="仿宋_GB2312"/>
          <w:sz w:val="24"/>
          <w:szCs w:val="24"/>
        </w:rPr>
      </w:pPr>
      <w:r>
        <w:rPr>
          <w:rFonts w:hint="eastAsia" w:ascii="仿宋_GB2312" w:hAnsi="宋体" w:eastAsia="仿宋_GB2312"/>
          <w:sz w:val="24"/>
          <w:szCs w:val="24"/>
        </w:rPr>
        <w:t>供应商开户行：</w:t>
      </w: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账户：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供应商授权代表姓名（签字）：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供应商名称（公章）：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日期：________年</w:t>
      </w:r>
      <w:r>
        <w:rPr>
          <w:rFonts w:hint="eastAsia" w:ascii="仿宋_GB2312" w:hAnsi="宋体" w:eastAsia="仿宋_GB2312"/>
          <w:sz w:val="24"/>
          <w:szCs w:val="24"/>
          <w:u w:val="single"/>
        </w:rPr>
        <w:t>_    __</w:t>
      </w:r>
      <w:r>
        <w:rPr>
          <w:rFonts w:hint="eastAsia" w:ascii="仿宋_GB2312" w:hAnsi="宋体" w:eastAsia="仿宋_GB2312"/>
          <w:sz w:val="24"/>
          <w:szCs w:val="24"/>
        </w:rPr>
        <w:t>月</w:t>
      </w:r>
      <w:r>
        <w:rPr>
          <w:rFonts w:hint="eastAsia" w:ascii="仿宋_GB2312" w:hAnsi="宋体" w:eastAsia="仿宋_GB2312"/>
          <w:sz w:val="24"/>
          <w:szCs w:val="24"/>
          <w:u w:val="single"/>
        </w:rPr>
        <w:t>__   __</w:t>
      </w:r>
      <w:r>
        <w:rPr>
          <w:rFonts w:hint="eastAsia" w:ascii="仿宋_GB2312" w:hAnsi="宋体" w:eastAsia="仿宋_GB2312"/>
          <w:sz w:val="24"/>
          <w:szCs w:val="24"/>
        </w:rPr>
        <w:t>日</w:t>
      </w:r>
    </w:p>
    <w:p>
      <w:pPr>
        <w:rPr>
          <w:rFonts w:ascii="仿宋_GB2312" w:hAnsi="宋体" w:eastAsia="仿宋_GB2312"/>
          <w:i/>
          <w:sz w:val="24"/>
          <w:szCs w:val="24"/>
          <w:u w:val="single"/>
        </w:rPr>
      </w:pPr>
    </w:p>
    <w:p>
      <w:pPr>
        <w:rPr>
          <w:rFonts w:ascii="仿宋_GB2312" w:hAnsi="宋体" w:eastAsia="仿宋_GB2312"/>
          <w:i/>
          <w:sz w:val="24"/>
          <w:szCs w:val="24"/>
          <w:u w:val="single"/>
        </w:rPr>
      </w:pPr>
    </w:p>
    <w:p>
      <w:pPr>
        <w:rPr>
          <w:rFonts w:ascii="仿宋_GB2312" w:eastAsia="仿宋_GB2312"/>
          <w:b/>
          <w:bCs/>
          <w:sz w:val="28"/>
          <w:szCs w:val="28"/>
        </w:rPr>
      </w:pPr>
      <w:r>
        <w:rPr>
          <w:rFonts w:hint="eastAsia" w:ascii="仿宋_GB2312" w:eastAsia="仿宋_GB2312"/>
          <w:b/>
          <w:bCs/>
          <w:sz w:val="28"/>
          <w:szCs w:val="28"/>
        </w:rPr>
        <w:t>五、清单报价明细表（结合项目需求自行编制）</w:t>
      </w:r>
    </w:p>
    <w:p>
      <w:pPr>
        <w:rPr>
          <w:rFonts w:ascii="仿宋_GB2312" w:eastAsia="仿宋_GB2312"/>
          <w:b/>
          <w:bCs/>
          <w:sz w:val="28"/>
          <w:szCs w:val="28"/>
        </w:rPr>
      </w:pPr>
      <w:r>
        <w:rPr>
          <w:rFonts w:hint="eastAsia" w:ascii="仿宋_GB2312" w:eastAsia="仿宋_GB2312"/>
          <w:b/>
          <w:bCs/>
          <w:sz w:val="28"/>
          <w:szCs w:val="28"/>
        </w:rPr>
        <w:t>六、施工方案（主要但不限于</w:t>
      </w:r>
      <w:r>
        <w:rPr>
          <w:rFonts w:hint="eastAsia" w:ascii="仿宋_GB2312" w:hAnsi="宋体" w:eastAsia="仿宋_GB2312"/>
          <w:b/>
          <w:bCs/>
          <w:sz w:val="28"/>
          <w:szCs w:val="28"/>
        </w:rPr>
        <w:t>施工组织机构和人员组成、施工进度计划、施工质量和安全保证体系等</w:t>
      </w:r>
      <w:r>
        <w:rPr>
          <w:rFonts w:hint="eastAsia" w:ascii="仿宋_GB2312" w:eastAsia="仿宋_GB2312"/>
          <w:b/>
          <w:bCs/>
          <w:sz w:val="28"/>
          <w:szCs w:val="28"/>
        </w:rPr>
        <w:t>）</w:t>
      </w:r>
    </w:p>
    <w:p>
      <w:pPr>
        <w:rPr>
          <w:rFonts w:ascii="仿宋_GB2312" w:eastAsia="仿宋_GB2312"/>
          <w:b/>
          <w:bCs/>
          <w:sz w:val="28"/>
          <w:szCs w:val="28"/>
        </w:rPr>
      </w:pPr>
      <w:r>
        <w:rPr>
          <w:rFonts w:hint="eastAsia" w:ascii="仿宋_GB2312" w:eastAsia="仿宋_GB2312"/>
          <w:b/>
          <w:bCs/>
          <w:sz w:val="28"/>
          <w:szCs w:val="28"/>
        </w:rPr>
        <w:t>七、</w:t>
      </w:r>
      <w:r>
        <w:rPr>
          <w:rFonts w:hint="eastAsia" w:ascii="仿宋_GB2312" w:hAnsi="宋体" w:eastAsia="仿宋_GB2312"/>
          <w:b/>
          <w:bCs/>
          <w:sz w:val="28"/>
          <w:szCs w:val="28"/>
        </w:rPr>
        <w:t>业绩、售后服务、所投主要产品品牌等</w:t>
      </w:r>
      <w:r>
        <w:rPr>
          <w:rFonts w:hint="eastAsia" w:ascii="仿宋_GB2312" w:eastAsia="仿宋_GB2312"/>
          <w:b/>
          <w:bCs/>
          <w:sz w:val="28"/>
          <w:szCs w:val="28"/>
        </w:rPr>
        <w:t>投标人需要提供的其它材料</w:t>
      </w:r>
    </w:p>
    <w:p>
      <w:pPr>
        <w:rPr>
          <w:rFonts w:ascii="仿宋_GB2312" w:eastAsia="仿宋_GB2312"/>
          <w:sz w:val="24"/>
          <w:szCs w:val="24"/>
          <w:highlight w:val="yellow"/>
        </w:rPr>
      </w:pPr>
    </w:p>
    <w:p>
      <w:pPr>
        <w:rPr>
          <w:rFonts w:hint="eastAsia" w:ascii="宋体" w:hAnsi="宋体"/>
          <w:b/>
          <w:sz w:val="24"/>
          <w:szCs w:val="24"/>
          <w:highlight w:val="yellow"/>
        </w:rPr>
      </w:pPr>
    </w:p>
    <w:p>
      <w:pPr>
        <w:rPr>
          <w:rFonts w:hint="eastAsia" w:ascii="宋体" w:hAnsi="宋体"/>
          <w:b/>
          <w:sz w:val="24"/>
          <w:szCs w:val="24"/>
          <w:highlight w:val="yellow"/>
        </w:rPr>
      </w:pPr>
    </w:p>
    <w:p>
      <w:pPr>
        <w:rPr>
          <w:rFonts w:ascii="宋体" w:hAnsi="宋体"/>
          <w:b/>
          <w:sz w:val="24"/>
          <w:szCs w:val="24"/>
        </w:rPr>
      </w:pPr>
      <w:r>
        <w:rPr>
          <w:rFonts w:hint="eastAsia" w:ascii="宋体" w:hAnsi="宋体"/>
          <w:b/>
          <w:sz w:val="24"/>
          <w:szCs w:val="24"/>
        </w:rPr>
        <w:t>附件1：</w:t>
      </w:r>
    </w:p>
    <w:p>
      <w:pPr>
        <w:spacing w:line="560" w:lineRule="exact"/>
        <w:jc w:val="center"/>
        <w:rPr>
          <w:rFonts w:ascii="华文中宋" w:hAnsi="华文中宋" w:eastAsia="华文中宋"/>
          <w:b/>
          <w:sz w:val="36"/>
          <w:szCs w:val="36"/>
        </w:rPr>
      </w:pPr>
    </w:p>
    <w:p>
      <w:pPr>
        <w:spacing w:line="560" w:lineRule="exact"/>
        <w:jc w:val="center"/>
        <w:rPr>
          <w:rFonts w:ascii="华文中宋" w:hAnsi="华文中宋" w:eastAsia="华文中宋"/>
          <w:b/>
          <w:sz w:val="36"/>
          <w:szCs w:val="36"/>
        </w:rPr>
      </w:pPr>
      <w:r>
        <w:rPr>
          <w:rFonts w:hint="eastAsia" w:ascii="华文中宋" w:hAnsi="华文中宋" w:eastAsia="华文中宋"/>
          <w:b/>
          <w:sz w:val="36"/>
          <w:szCs w:val="36"/>
        </w:rPr>
        <w:t>皖南医学院采购质疑与投诉办法（试行）</w:t>
      </w:r>
    </w:p>
    <w:p>
      <w:pPr>
        <w:spacing w:line="560" w:lineRule="exact"/>
        <w:ind w:firstLine="600" w:firstLineChars="200"/>
        <w:rPr>
          <w:sz w:val="30"/>
          <w:szCs w:val="30"/>
        </w:rPr>
      </w:pPr>
    </w:p>
    <w:p>
      <w:pPr>
        <w:spacing w:line="560" w:lineRule="exact"/>
        <w:jc w:val="center"/>
        <w:rPr>
          <w:rFonts w:ascii="黑体" w:hAnsi="黑体" w:eastAsia="黑体" w:cs="宋体"/>
          <w:sz w:val="30"/>
          <w:szCs w:val="30"/>
        </w:rPr>
      </w:pPr>
      <w:bookmarkStart w:id="132" w:name="_Toc374453341"/>
      <w:r>
        <w:rPr>
          <w:rFonts w:hint="eastAsia" w:ascii="黑体" w:hAnsi="黑体" w:eastAsia="黑体" w:cs="宋体"/>
          <w:b/>
          <w:bCs/>
          <w:sz w:val="30"/>
          <w:szCs w:val="30"/>
        </w:rPr>
        <w:t>第一章</w:t>
      </w:r>
      <w:r>
        <w:rPr>
          <w:rFonts w:hint="eastAsia" w:ascii="宋体" w:hAnsi="宋体" w:eastAsia="黑体"/>
          <w:sz w:val="30"/>
          <w:szCs w:val="30"/>
        </w:rPr>
        <w:t>  </w:t>
      </w:r>
      <w:r>
        <w:rPr>
          <w:rFonts w:hint="eastAsia" w:ascii="黑体" w:hAnsi="黑体" w:eastAsia="黑体" w:cs="宋体"/>
          <w:b/>
          <w:bCs/>
          <w:sz w:val="30"/>
          <w:szCs w:val="30"/>
        </w:rPr>
        <w:t>总 则</w:t>
      </w:r>
      <w:bookmarkEnd w:id="132"/>
    </w:p>
    <w:p>
      <w:pPr>
        <w:spacing w:line="560" w:lineRule="exact"/>
        <w:ind w:firstLine="480" w:firstLineChars="200"/>
        <w:rPr>
          <w:rFonts w:ascii="仿宋_GB2312" w:hAnsi="宋体" w:eastAsia="仿宋_GB2312" w:cs="宋体"/>
          <w:sz w:val="24"/>
          <w:szCs w:val="24"/>
        </w:rPr>
      </w:pPr>
      <w:r>
        <w:rPr>
          <w:rFonts w:hint="eastAsia" w:ascii="宋体" w:hAnsi="宋体" w:eastAsia="仿宋_GB2312"/>
          <w:sz w:val="24"/>
          <w:szCs w:val="24"/>
        </w:rPr>
        <w:t> </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 xml:space="preserve"> </w:t>
      </w:r>
      <w:r>
        <w:rPr>
          <w:rFonts w:hint="eastAsia" w:ascii="仿宋_GB2312" w:hAnsi="宋体" w:eastAsia="仿宋_GB2312" w:cs="宋体"/>
          <w:b/>
          <w:sz w:val="24"/>
          <w:szCs w:val="24"/>
        </w:rPr>
        <w:t>第一条</w:t>
      </w:r>
      <w:r>
        <w:rPr>
          <w:rFonts w:hint="eastAsia" w:ascii="仿宋_GB2312" w:hAnsi="宋体" w:eastAsia="仿宋_GB2312" w:cs="宋体"/>
          <w:sz w:val="24"/>
          <w:szCs w:val="24"/>
        </w:rPr>
        <w:t xml:space="preserve">  为规范学校采购活动质疑和投诉行为，确保采购活动公平竞争、合理运转，保护参加学校采购活动当事人的合法权益，根据《中华人民共和国政府采购法》、《中华人民共和国政府采购法实施条例》、《政府采购质疑和投诉办法》（财政部令第94号）和安徽省政府有关文件精神，结合学校实际，制定本办法。</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第二条</w:t>
      </w:r>
      <w:r>
        <w:rPr>
          <w:rFonts w:hint="eastAsia" w:ascii="仿宋_GB2312" w:hAnsi="宋体" w:eastAsia="仿宋_GB2312" w:cs="宋体"/>
          <w:sz w:val="24"/>
          <w:szCs w:val="24"/>
        </w:rPr>
        <w:t xml:space="preserve">  本办法适用于</w:t>
      </w:r>
      <w:bookmarkStart w:id="133" w:name="OLE_LINK1"/>
      <w:bookmarkStart w:id="134" w:name="OLE_LINK3"/>
      <w:bookmarkStart w:id="135" w:name="OLE_LINK2"/>
      <w:r>
        <w:rPr>
          <w:rFonts w:hint="eastAsia" w:ascii="仿宋_GB2312" w:hAnsi="宋体" w:eastAsia="仿宋_GB2312" w:cs="宋体"/>
          <w:sz w:val="24"/>
          <w:szCs w:val="24"/>
        </w:rPr>
        <w:t>学校采购活动</w:t>
      </w:r>
      <w:bookmarkEnd w:id="133"/>
      <w:bookmarkEnd w:id="134"/>
      <w:bookmarkEnd w:id="135"/>
      <w:r>
        <w:rPr>
          <w:rFonts w:hint="eastAsia" w:ascii="仿宋_GB2312" w:hAnsi="宋体" w:eastAsia="仿宋_GB2312" w:cs="宋体"/>
          <w:sz w:val="24"/>
          <w:szCs w:val="24"/>
        </w:rPr>
        <w:t>质疑的提出和答复、投诉的提起和处理。</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eastAsia="仿宋_GB2312"/>
          <w:sz w:val="24"/>
          <w:szCs w:val="24"/>
        </w:rPr>
      </w:pPr>
      <w:r>
        <w:rPr>
          <w:rFonts w:hint="eastAsia" w:ascii="仿宋_GB2312" w:eastAsia="仿宋_GB2312"/>
          <w:b/>
          <w:sz w:val="24"/>
          <w:szCs w:val="24"/>
        </w:rPr>
        <w:t>第三条</w:t>
      </w:r>
      <w:r>
        <w:rPr>
          <w:rFonts w:hint="eastAsia" w:ascii="仿宋_GB2312" w:eastAsia="仿宋_GB2312"/>
          <w:sz w:val="24"/>
          <w:szCs w:val="24"/>
        </w:rPr>
        <w:t xml:space="preserve">  学校政府采购中的集中采购和分散采购项目质疑的提出与答复和投诉的提起与处理遵照《政府采购质疑和投诉办法》（财政部令第94号）和安徽省有关规定执行，上级政策如有调整，按最新政策规定执行。</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第四条</w:t>
      </w:r>
      <w:r>
        <w:rPr>
          <w:rFonts w:hint="eastAsia" w:ascii="仿宋_GB2312" w:hAnsi="宋体" w:eastAsia="仿宋_GB2312" w:cs="宋体"/>
          <w:sz w:val="24"/>
          <w:szCs w:val="24"/>
        </w:rPr>
        <w:t xml:space="preserve">  供应商提出质疑和投诉应当坚持依法依规、诚实信用原则。</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第五条</w:t>
      </w:r>
      <w:r>
        <w:rPr>
          <w:rFonts w:hint="eastAsia" w:ascii="仿宋_GB2312" w:hAnsi="宋体" w:eastAsia="仿宋_GB2312" w:cs="宋体"/>
          <w:sz w:val="24"/>
          <w:szCs w:val="24"/>
        </w:rPr>
        <w:t xml:space="preserve">  采购质疑答复和投诉处理应当坚持依法依规、权责对等、公平公正、简便高效原则。</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第六条</w:t>
      </w:r>
      <w:r>
        <w:rPr>
          <w:rFonts w:hint="eastAsia" w:ascii="仿宋_GB2312" w:hAnsi="宋体" w:eastAsia="仿宋_GB2312" w:cs="宋体"/>
          <w:sz w:val="24"/>
          <w:szCs w:val="24"/>
        </w:rPr>
        <w:t xml:space="preserve">  学校国有资产管理处（以下简称“国资处”）负责供应商质疑答复。学校委托采购代理机构采购的，采购代理机构在委托授权范围内作出答复。</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学校监察处负责接受和处理校内自主采购项目的投诉。</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第七条</w:t>
      </w:r>
      <w:r>
        <w:rPr>
          <w:rFonts w:hint="eastAsia" w:ascii="仿宋_GB2312" w:hAnsi="宋体" w:eastAsia="仿宋_GB2312" w:cs="宋体"/>
          <w:sz w:val="24"/>
          <w:szCs w:val="24"/>
        </w:rPr>
        <w:t xml:space="preserve">  国资处、委托采购代理机构应当在采购文件中载明接收质疑函和受理投诉的方式、联系部门、联系电话和通讯地址等信息。</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第八条</w:t>
      </w:r>
      <w:r>
        <w:rPr>
          <w:rFonts w:hint="eastAsia" w:ascii="仿宋_GB2312" w:hAnsi="宋体" w:eastAsia="仿宋_GB2312" w:cs="宋体"/>
          <w:sz w:val="24"/>
          <w:szCs w:val="24"/>
        </w:rPr>
        <w:t xml:space="preserve">  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代理人提出质疑和投诉，应当提交供应商签署的授权委托书。</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第九条</w:t>
      </w:r>
      <w:r>
        <w:rPr>
          <w:rFonts w:hint="eastAsia" w:ascii="仿宋_GB2312" w:hAnsi="宋体" w:eastAsia="仿宋_GB2312" w:cs="宋体"/>
          <w:sz w:val="24"/>
          <w:szCs w:val="24"/>
        </w:rPr>
        <w:t xml:space="preserve">  以联合体形式参加学校采购活动的，其投诉应当由组成联合体的所有供应商共同提出。</w:t>
      </w:r>
    </w:p>
    <w:p>
      <w:pPr>
        <w:spacing w:line="560" w:lineRule="exact"/>
        <w:ind w:firstLine="480" w:firstLineChars="200"/>
        <w:rPr>
          <w:rFonts w:ascii="仿宋_GB2312" w:hAnsi="宋体" w:eastAsia="仿宋_GB2312" w:cs="宋体"/>
          <w:sz w:val="24"/>
          <w:szCs w:val="24"/>
        </w:rPr>
      </w:pPr>
    </w:p>
    <w:p>
      <w:pPr>
        <w:spacing w:line="560" w:lineRule="exact"/>
        <w:jc w:val="center"/>
        <w:rPr>
          <w:rFonts w:ascii="黑体" w:hAnsi="黑体" w:eastAsia="黑体" w:cs="宋体"/>
          <w:b/>
          <w:sz w:val="30"/>
          <w:szCs w:val="30"/>
        </w:rPr>
      </w:pPr>
      <w:r>
        <w:rPr>
          <w:rFonts w:hint="eastAsia" w:ascii="黑体" w:hAnsi="黑体" w:eastAsia="黑体" w:cs="宋体"/>
          <w:b/>
          <w:sz w:val="30"/>
          <w:szCs w:val="30"/>
        </w:rPr>
        <w:t>第二章 质疑的提出</w:t>
      </w:r>
    </w:p>
    <w:p>
      <w:pPr>
        <w:spacing w:line="560" w:lineRule="exact"/>
        <w:ind w:firstLine="600" w:firstLineChars="200"/>
        <w:rPr>
          <w:rFonts w:ascii="仿宋_GB2312" w:hAnsi="宋体" w:eastAsia="仿宋_GB2312" w:cs="宋体"/>
          <w:sz w:val="30"/>
          <w:szCs w:val="30"/>
        </w:rPr>
      </w:pP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第十条</w:t>
      </w:r>
      <w:bookmarkStart w:id="136" w:name="OLE_LINK7"/>
      <w:bookmarkStart w:id="137" w:name="OLE_LINK4"/>
      <w:bookmarkStart w:id="138" w:name="OLE_LINK5"/>
      <w:bookmarkStart w:id="139" w:name="OLE_LINK8"/>
      <w:bookmarkStart w:id="140" w:name="OLE_LINK9"/>
      <w:bookmarkStart w:id="141" w:name="OLE_LINK6"/>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bookmarkEnd w:id="136"/>
      <w:bookmarkEnd w:id="137"/>
      <w:bookmarkEnd w:id="138"/>
      <w:bookmarkEnd w:id="139"/>
      <w:bookmarkEnd w:id="140"/>
      <w:bookmarkEnd w:id="141"/>
      <w:r>
        <w:rPr>
          <w:rFonts w:hint="eastAsia" w:ascii="仿宋_GB2312" w:hAnsi="微软雅黑" w:eastAsia="仿宋_GB2312"/>
          <w:sz w:val="24"/>
          <w:szCs w:val="24"/>
        </w:rPr>
        <w:t>，供应商认为采购文件、采购过程、中标或者成交结果使自己的权益受到损害的，可以在知道或者应知其权益受到损害之日起5个工作日内，以书面形式向国资处、采购代理机构提出质疑。</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采购文件可以要求供应商在质疑期内一次性提出针对同一采购程序环节的质疑。</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eastAsia="仿宋_GB2312"/>
          <w:sz w:val="24"/>
          <w:szCs w:val="24"/>
        </w:rPr>
      </w:pPr>
      <w:r>
        <w:rPr>
          <w:rFonts w:hint="eastAsia" w:ascii="仿宋_GB2312" w:eastAsia="仿宋_GB2312"/>
          <w:b/>
          <w:sz w:val="24"/>
          <w:szCs w:val="24"/>
        </w:rPr>
        <w:t>第十一条</w:t>
      </w:r>
      <w:r>
        <w:rPr>
          <w:rFonts w:hint="eastAsia" w:ascii="仿宋_GB2312" w:eastAsia="仿宋_GB2312"/>
          <w:sz w:val="24"/>
          <w:szCs w:val="24"/>
        </w:rPr>
        <w:t xml:space="preserve">  学校自主采购活动</w:t>
      </w:r>
      <w:r>
        <w:rPr>
          <w:rFonts w:hint="eastAsia" w:ascii="仿宋_GB2312" w:hAnsi="微软雅黑" w:eastAsia="仿宋_GB2312"/>
          <w:sz w:val="24"/>
          <w:szCs w:val="24"/>
        </w:rPr>
        <w:t>中</w:t>
      </w:r>
      <w:r>
        <w:rPr>
          <w:rFonts w:hint="eastAsia" w:ascii="仿宋_GB2312" w:eastAsia="仿宋_GB2312"/>
          <w:sz w:val="24"/>
          <w:szCs w:val="24"/>
        </w:rPr>
        <w:t>，提出质疑的供应商（以下简称质疑供应商）应当是参与所质疑项目采购活动的供应商。</w:t>
      </w:r>
    </w:p>
    <w:p>
      <w:pPr>
        <w:spacing w:line="560" w:lineRule="exact"/>
        <w:ind w:firstLine="480" w:firstLineChars="200"/>
        <w:rPr>
          <w:rFonts w:ascii="仿宋_GB2312" w:hAnsi="宋体" w:eastAsia="仿宋_GB2312"/>
          <w:sz w:val="24"/>
          <w:szCs w:val="24"/>
        </w:rPr>
      </w:pPr>
      <w:r>
        <w:rPr>
          <w:rFonts w:hint="eastAsia" w:ascii="仿宋_GB2312" w:hAnsi="宋体" w:eastAsia="仿宋_GB2312"/>
          <w:sz w:val="24"/>
          <w:szCs w:val="24"/>
        </w:rPr>
        <w:t xml:space="preserve">潜在供应商已依法依规获取其可质疑的采购文件的，可以对该文件提出质疑。对采购文件提出质疑的，应当在采购文件规定的时间内提出。 </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第十二条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供应商提出质疑应当提交质疑函和必要的证明材料。质疑函应当包括下列内容：</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（一）供应商的姓名或者名称、地址、邮编、联系人及联系电话；</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（二）质疑项目的名称、编号；</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（三）具体、明确的质疑事项和与质疑事项相关的请求；</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（四）事实依据；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（五）必要的法律依据；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（六）提出质疑的日期。</w:t>
      </w:r>
    </w:p>
    <w:p>
      <w:pPr>
        <w:spacing w:line="560" w:lineRule="exact"/>
        <w:ind w:firstLine="480" w:firstLineChars="200"/>
        <w:rPr>
          <w:rFonts w:ascii="仿宋_GB2312" w:hAnsi="微软雅黑" w:eastAsia="仿宋_GB2312"/>
          <w:sz w:val="24"/>
          <w:szCs w:val="24"/>
        </w:rPr>
      </w:pPr>
      <w:r>
        <w:rPr>
          <w:rFonts w:hint="eastAsia" w:ascii="仿宋_GB2312" w:hAnsi="微软雅黑" w:eastAsia="仿宋_GB2312"/>
          <w:sz w:val="24"/>
          <w:szCs w:val="24"/>
        </w:rPr>
        <w:t>供应商为自然人的，应当由本人签字；供应商为法人或者其他组织的，应当由法定代表人、主要负责人，或者其授权代表签字或者盖章，并加盖公章。</w:t>
      </w:r>
    </w:p>
    <w:p>
      <w:pPr>
        <w:spacing w:line="560" w:lineRule="exact"/>
        <w:ind w:firstLine="482" w:firstLineChars="200"/>
        <w:rPr>
          <w:rFonts w:ascii="仿宋_GB2312" w:hAnsi="微软雅黑" w:eastAsia="仿宋_GB2312"/>
          <w:sz w:val="24"/>
          <w:szCs w:val="24"/>
        </w:rPr>
      </w:pPr>
      <w:r>
        <w:rPr>
          <w:rFonts w:hint="eastAsia" w:ascii="仿宋_GB2312" w:hAnsi="宋体" w:eastAsia="仿宋_GB2312" w:cs="宋体"/>
          <w:b/>
          <w:sz w:val="24"/>
          <w:szCs w:val="24"/>
        </w:rPr>
        <w:t>第十三条</w:t>
      </w:r>
      <w:r>
        <w:rPr>
          <w:rFonts w:hint="eastAsia" w:ascii="仿宋_GB2312" w:hAnsi="宋体" w:eastAsia="仿宋_GB2312" w:cs="宋体"/>
          <w:sz w:val="24"/>
          <w:szCs w:val="24"/>
        </w:rPr>
        <w:t xml:space="preserve">  供应商的书面质疑如不符合本办法第十二条的规定，国资处应及时书面告知其补充或修改书面质疑材料的具体内容，并规定重新提交书面质疑的期限。</w:t>
      </w:r>
    </w:p>
    <w:p>
      <w:pPr>
        <w:spacing w:line="560" w:lineRule="exact"/>
        <w:ind w:firstLine="480" w:firstLineChars="200"/>
        <w:rPr>
          <w:rFonts w:ascii="仿宋_GB2312" w:hAnsi="微软雅黑" w:eastAsia="仿宋_GB2312"/>
          <w:sz w:val="24"/>
          <w:szCs w:val="24"/>
        </w:rPr>
      </w:pPr>
    </w:p>
    <w:p>
      <w:pPr>
        <w:spacing w:line="560" w:lineRule="exact"/>
        <w:jc w:val="center"/>
        <w:rPr>
          <w:rFonts w:ascii="黑体" w:hAnsi="黑体" w:eastAsia="黑体"/>
          <w:b/>
          <w:sz w:val="30"/>
          <w:szCs w:val="30"/>
        </w:rPr>
      </w:pPr>
      <w:r>
        <w:rPr>
          <w:rFonts w:hint="eastAsia" w:ascii="黑体" w:hAnsi="黑体" w:eastAsia="黑体"/>
          <w:b/>
          <w:sz w:val="30"/>
          <w:szCs w:val="30"/>
        </w:rPr>
        <w:t>第三章  质疑的答复</w:t>
      </w:r>
    </w:p>
    <w:p>
      <w:pPr>
        <w:spacing w:line="560" w:lineRule="exact"/>
        <w:ind w:firstLine="600" w:firstLineChars="200"/>
        <w:rPr>
          <w:rFonts w:ascii="仿宋_GB2312" w:hAnsi="微软雅黑" w:eastAsia="仿宋_GB2312"/>
          <w:sz w:val="30"/>
          <w:szCs w:val="30"/>
        </w:rPr>
      </w:pPr>
    </w:p>
    <w:p>
      <w:pPr>
        <w:spacing w:line="560" w:lineRule="exact"/>
        <w:ind w:firstLine="482" w:firstLineChars="200"/>
        <w:rPr>
          <w:rFonts w:ascii="仿宋_GB2312" w:hAnsi="宋体" w:eastAsia="仿宋_GB2312" w:cs="宋体"/>
          <w:sz w:val="24"/>
          <w:szCs w:val="24"/>
        </w:rPr>
      </w:pPr>
      <w:r>
        <w:rPr>
          <w:rFonts w:hint="eastAsia" w:ascii="仿宋_GB2312" w:hAnsi="微软雅黑" w:eastAsia="仿宋_GB2312"/>
          <w:b/>
          <w:sz w:val="24"/>
          <w:szCs w:val="24"/>
        </w:rPr>
        <w:t>第十四条</w:t>
      </w:r>
      <w:r>
        <w:rPr>
          <w:rFonts w:hint="eastAsia" w:ascii="仿宋_GB2312" w:hAnsi="微软雅黑" w:eastAsia="仿宋_GB2312"/>
          <w:sz w:val="24"/>
          <w:szCs w:val="24"/>
        </w:rPr>
        <w:t xml:space="preserve">  </w:t>
      </w:r>
      <w:r>
        <w:rPr>
          <w:rFonts w:hint="eastAsia" w:ascii="仿宋_GB2312" w:hAnsi="宋体" w:eastAsia="仿宋_GB2312" w:cs="宋体"/>
          <w:sz w:val="24"/>
          <w:szCs w:val="24"/>
        </w:rPr>
        <w:t>供应商对学校</w:t>
      </w:r>
      <w:r>
        <w:rPr>
          <w:rFonts w:hint="eastAsia" w:ascii="仿宋_GB2312" w:hAnsi="宋体" w:eastAsia="仿宋_GB2312"/>
          <w:sz w:val="24"/>
          <w:szCs w:val="24"/>
        </w:rPr>
        <w:t>自主</w:t>
      </w:r>
      <w:r>
        <w:rPr>
          <w:rFonts w:hint="eastAsia" w:ascii="仿宋_GB2312" w:hAnsi="宋体" w:eastAsia="仿宋_GB2312" w:cs="宋体"/>
          <w:sz w:val="24"/>
          <w:szCs w:val="24"/>
        </w:rPr>
        <w:t>采购活动有疑问的，可以向学校国资处、</w:t>
      </w:r>
      <w:r>
        <w:rPr>
          <w:rFonts w:hint="eastAsia" w:ascii="仿宋_GB2312" w:hAnsi="微软雅黑" w:eastAsia="仿宋_GB2312"/>
          <w:sz w:val="24"/>
          <w:szCs w:val="24"/>
        </w:rPr>
        <w:t>采购代理机构</w:t>
      </w:r>
      <w:r>
        <w:rPr>
          <w:rFonts w:hint="eastAsia" w:ascii="仿宋_GB2312" w:hAnsi="宋体" w:eastAsia="仿宋_GB2312" w:cs="宋体"/>
          <w:sz w:val="24"/>
          <w:szCs w:val="24"/>
        </w:rPr>
        <w:t>提出询问，国资处、</w:t>
      </w:r>
      <w:r>
        <w:rPr>
          <w:rFonts w:hint="eastAsia" w:ascii="仿宋_GB2312" w:hAnsi="微软雅黑" w:eastAsia="仿宋_GB2312"/>
          <w:sz w:val="24"/>
          <w:szCs w:val="24"/>
        </w:rPr>
        <w:t>采购代理机构</w:t>
      </w:r>
      <w:r>
        <w:rPr>
          <w:rFonts w:hint="eastAsia" w:ascii="仿宋_GB2312" w:hAnsi="宋体" w:eastAsia="仿宋_GB2312" w:cs="宋体"/>
          <w:sz w:val="24"/>
          <w:szCs w:val="24"/>
        </w:rPr>
        <w:t>应及时口头答复。</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第十五</w:t>
      </w:r>
      <w:r>
        <w:rPr>
          <w:rFonts w:hint="eastAsia" w:ascii="仿宋_GB2312" w:hAnsi="宋体" w:eastAsia="仿宋_GB2312" w:cs="宋体"/>
          <w:sz w:val="24"/>
          <w:szCs w:val="24"/>
        </w:rPr>
        <w:t>条  国资处、采购代理机构对供应商提出的询问，应区别不同情况予以处理：属于工作中的问题，应当及时纠正；属于供应商的误解，应予以解释说明。</w:t>
      </w:r>
    </w:p>
    <w:p>
      <w:pPr>
        <w:spacing w:line="560" w:lineRule="exact"/>
        <w:ind w:firstLine="482" w:firstLineChars="200"/>
        <w:rPr>
          <w:rFonts w:ascii="仿宋_GB2312" w:hAnsi="微软雅黑" w:eastAsia="仿宋_GB2312"/>
          <w:sz w:val="24"/>
          <w:szCs w:val="24"/>
        </w:rPr>
      </w:pPr>
      <w:r>
        <w:rPr>
          <w:rFonts w:hint="eastAsia" w:ascii="仿宋_GB2312" w:hAnsi="微软雅黑" w:eastAsia="仿宋_GB2312"/>
          <w:b/>
          <w:sz w:val="24"/>
          <w:szCs w:val="24"/>
        </w:rPr>
        <w:t>第十六</w:t>
      </w:r>
      <w:r>
        <w:rPr>
          <w:rFonts w:hint="eastAsia" w:ascii="仿宋_GB2312" w:hAnsi="微软雅黑" w:eastAsia="仿宋_GB2312"/>
          <w:sz w:val="24"/>
          <w:szCs w:val="24"/>
        </w:rPr>
        <w:t xml:space="preserve">条  </w:t>
      </w:r>
      <w:r>
        <w:rPr>
          <w:rFonts w:hint="eastAsia" w:ascii="仿宋_GB2312" w:hAnsi="宋体" w:eastAsia="仿宋_GB2312" w:cs="宋体"/>
          <w:sz w:val="24"/>
          <w:szCs w:val="24"/>
        </w:rPr>
        <w:t>学校</w:t>
      </w:r>
      <w:r>
        <w:rPr>
          <w:rFonts w:hint="eastAsia" w:ascii="仿宋_GB2312" w:hAnsi="宋体" w:eastAsia="仿宋_GB2312"/>
          <w:sz w:val="24"/>
          <w:szCs w:val="24"/>
        </w:rPr>
        <w:t>自主</w:t>
      </w:r>
      <w:r>
        <w:rPr>
          <w:rFonts w:hint="eastAsia" w:ascii="仿宋_GB2312" w:hAnsi="宋体" w:eastAsia="仿宋_GB2312" w:cs="宋体"/>
          <w:sz w:val="24"/>
          <w:szCs w:val="24"/>
        </w:rPr>
        <w:t>采购活动</w:t>
      </w:r>
      <w:r>
        <w:rPr>
          <w:rFonts w:hint="eastAsia" w:ascii="仿宋_GB2312" w:hAnsi="微软雅黑" w:eastAsia="仿宋_GB2312"/>
          <w:sz w:val="24"/>
          <w:szCs w:val="24"/>
        </w:rPr>
        <w:t>中</w:t>
      </w:r>
      <w:r>
        <w:rPr>
          <w:rFonts w:hint="eastAsia" w:ascii="仿宋_GB2312" w:hAnsi="宋体" w:eastAsia="仿宋_GB2312"/>
          <w:sz w:val="24"/>
          <w:szCs w:val="24"/>
        </w:rPr>
        <w:t>，</w:t>
      </w:r>
      <w:r>
        <w:rPr>
          <w:rFonts w:hint="eastAsia" w:ascii="仿宋_GB2312" w:hAnsi="微软雅黑" w:eastAsia="仿宋_GB2312"/>
          <w:sz w:val="24"/>
          <w:szCs w:val="24"/>
        </w:rPr>
        <w:t>国资处、采购代理机构不得拒收质疑供应商在法定质疑期内发出的质疑函，应当在收到质疑函后7个工作日内（采用招标方式的3日内）作出答复，并以书面形式通知质疑供应商。</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第十七条</w:t>
      </w:r>
      <w:r>
        <w:rPr>
          <w:rFonts w:hint="eastAsia" w:ascii="仿宋_GB2312" w:hAnsi="宋体" w:eastAsia="仿宋_GB2312" w:cs="宋体"/>
          <w:sz w:val="24"/>
          <w:szCs w:val="24"/>
        </w:rPr>
        <w:t xml:space="preserve">  供应商的书面质疑属于下列情形之一的，国资处、采购代理机构可不予受理，并以书面形式告知其不予受理的原因：</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（一）未通过资格审核，或未参与该采购项目活动的供应商；</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（二）已超过法律规定或采购文件约定的质疑期限；</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第十八条</w:t>
      </w:r>
      <w:r>
        <w:rPr>
          <w:rFonts w:hint="eastAsia" w:ascii="仿宋_GB2312" w:hAnsi="宋体" w:eastAsia="仿宋_GB2312" w:cs="宋体"/>
          <w:sz w:val="24"/>
          <w:szCs w:val="24"/>
        </w:rPr>
        <w:t xml:space="preserve">  国资处可就供应商的质疑事项进行调查取证，有关当事人应当如实反映情况和提供有关材料。</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第十九条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供应商对评审过程、中标或者成交结果提出质疑的，国资处、采购代理机构可以组织原评标委员会、谈判小组、询价小组或者磋商小组协助答复质疑。</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eastAsia="仿宋_GB2312"/>
          <w:b/>
          <w:sz w:val="24"/>
          <w:szCs w:val="24"/>
        </w:rPr>
        <w:t>第二十条</w:t>
      </w:r>
      <w:r>
        <w:rPr>
          <w:rFonts w:hint="eastAsia" w:ascii="仿宋_GB2312" w:eastAsia="仿宋_GB2312"/>
          <w:sz w:val="24"/>
          <w:szCs w:val="24"/>
        </w:rPr>
        <w:t xml:space="preserve">  采购评审人员应当积极配合国资处答复质疑供应商提出的质疑。</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第二十一条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质疑答复应当包括下列内容：</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（一）质疑供应商的姓名或者名称；</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（二）收到质疑函的日期、质疑项目名称及编号；</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（三）质疑事项、质疑答复的具体内容、事实依据和法律及相关政策规定等依据；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（四）告知质疑供应商依法投诉的权利；</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（五）质疑答复人名称；</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（六）答复质疑的日期。</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质疑答复的内容不得涉及商业秘密。</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第二十二条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国资处、采购代理机构认为供应商质疑不成立，或者成立但未对中标、成交结果构成影响的，继续开展采购活动；认为供应商质疑成立且影响或者可能影响中标、成交结果的，按照下列情况处理：</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（一）对采购文件提出的质疑，依法通过澄清或者修改可以继续开展采购活动的，澄清或者修改采购文件后继续开展采购活动；否则应当修改采购文件后重新开展采购活动。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质疑答复导致中标、成交结果改变的，国资处应当将有关情况书面报告监察处。</w:t>
      </w:r>
    </w:p>
    <w:p>
      <w:pPr>
        <w:spacing w:line="560" w:lineRule="exact"/>
        <w:ind w:firstLine="600" w:firstLineChars="200"/>
        <w:rPr>
          <w:rFonts w:ascii="仿宋_GB2312" w:hAnsi="宋体" w:eastAsia="仿宋_GB2312" w:cs="宋体"/>
          <w:sz w:val="30"/>
          <w:szCs w:val="30"/>
        </w:rPr>
      </w:pPr>
    </w:p>
    <w:p>
      <w:pPr>
        <w:spacing w:line="560" w:lineRule="exact"/>
        <w:jc w:val="center"/>
        <w:rPr>
          <w:rFonts w:ascii="黑体" w:hAnsi="黑体" w:eastAsia="黑体" w:cs="宋体"/>
          <w:b/>
          <w:sz w:val="30"/>
          <w:szCs w:val="30"/>
        </w:rPr>
      </w:pPr>
      <w:r>
        <w:rPr>
          <w:rFonts w:hint="eastAsia" w:ascii="黑体" w:hAnsi="黑体" w:eastAsia="黑体" w:cs="宋体"/>
          <w:b/>
          <w:sz w:val="30"/>
          <w:szCs w:val="30"/>
        </w:rPr>
        <w:t>第四章  投诉的提起</w:t>
      </w:r>
    </w:p>
    <w:p>
      <w:pPr>
        <w:spacing w:line="560" w:lineRule="exact"/>
        <w:ind w:firstLine="600" w:firstLineChars="200"/>
        <w:rPr>
          <w:rFonts w:ascii="仿宋_GB2312" w:hAnsi="宋体" w:eastAsia="仿宋_GB2312" w:cs="宋体"/>
          <w:sz w:val="30"/>
          <w:szCs w:val="30"/>
        </w:rPr>
      </w:pPr>
    </w:p>
    <w:p>
      <w:pPr>
        <w:spacing w:line="560" w:lineRule="exact"/>
        <w:ind w:firstLine="482" w:firstLineChars="200"/>
        <w:rPr>
          <w:rFonts w:ascii="仿宋_GB2312" w:hAnsi="宋体" w:eastAsia="仿宋_GB2312" w:cs="宋体"/>
          <w:sz w:val="24"/>
          <w:szCs w:val="24"/>
        </w:rPr>
      </w:pPr>
      <w:r>
        <w:rPr>
          <w:rFonts w:hint="eastAsia" w:ascii="仿宋_GB2312" w:eastAsia="仿宋_GB2312"/>
          <w:b/>
          <w:sz w:val="24"/>
          <w:szCs w:val="24"/>
        </w:rPr>
        <w:t>第二十三条</w:t>
      </w:r>
      <w:r>
        <w:rPr>
          <w:rFonts w:hint="eastAsia" w:ascii="仿宋_GB2312" w:eastAsia="仿宋_GB2312"/>
          <w:sz w:val="24"/>
          <w:szCs w:val="24"/>
        </w:rPr>
        <w:t xml:space="preserve">  学校</w:t>
      </w:r>
      <w:r>
        <w:rPr>
          <w:rFonts w:hint="eastAsia" w:ascii="仿宋_GB2312" w:hAnsi="宋体" w:eastAsia="仿宋_GB2312"/>
          <w:sz w:val="24"/>
          <w:szCs w:val="24"/>
        </w:rPr>
        <w:t>自主</w:t>
      </w:r>
      <w:r>
        <w:rPr>
          <w:rFonts w:hint="eastAsia" w:ascii="仿宋_GB2312" w:eastAsia="仿宋_GB2312"/>
          <w:sz w:val="24"/>
          <w:szCs w:val="24"/>
        </w:rPr>
        <w:t>采购活动中，</w:t>
      </w:r>
      <w:r>
        <w:rPr>
          <w:rFonts w:hint="eastAsia" w:ascii="仿宋_GB2312" w:hAnsi="微软雅黑" w:eastAsia="仿宋_GB2312"/>
          <w:sz w:val="24"/>
          <w:szCs w:val="24"/>
        </w:rPr>
        <w:t>质疑供应商对国资处、采购代理机构的答复不满意，或者</w:t>
      </w:r>
      <w:bookmarkStart w:id="142" w:name="OLE_LINK77"/>
      <w:bookmarkStart w:id="143" w:name="OLE_LINK76"/>
      <w:bookmarkStart w:id="144" w:name="OLE_LINK78"/>
      <w:r>
        <w:rPr>
          <w:rFonts w:hint="eastAsia" w:ascii="仿宋_GB2312" w:hAnsi="微软雅黑" w:eastAsia="仿宋_GB2312"/>
          <w:sz w:val="24"/>
          <w:szCs w:val="24"/>
        </w:rPr>
        <w:t>国资处、采购代理机构</w:t>
      </w:r>
      <w:bookmarkEnd w:id="142"/>
      <w:bookmarkEnd w:id="143"/>
      <w:bookmarkEnd w:id="144"/>
      <w:r>
        <w:rPr>
          <w:rFonts w:hint="eastAsia" w:ascii="仿宋_GB2312" w:hAnsi="微软雅黑" w:eastAsia="仿宋_GB2312"/>
          <w:sz w:val="24"/>
          <w:szCs w:val="24"/>
        </w:rPr>
        <w:t>未在规定时间内作出答复的，或者国资处、采购代理机构在采购活动中未正常履职、存在违规违纪行为的，可以在答复期满后7个工作日内向学校监察处提起投诉。</w:t>
      </w:r>
      <w:r>
        <w:rPr>
          <w:rFonts w:hint="eastAsia" w:ascii="宋体" w:hAnsi="宋体" w:eastAsia="仿宋_GB2312" w:cs="宋体"/>
          <w:sz w:val="24"/>
          <w:szCs w:val="24"/>
        </w:rPr>
        <w:t> </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eastAsia="仿宋_GB2312"/>
          <w:b/>
          <w:sz w:val="24"/>
          <w:szCs w:val="24"/>
        </w:rPr>
        <w:t>第二十四条</w:t>
      </w:r>
      <w:r>
        <w:rPr>
          <w:rFonts w:hint="eastAsia" w:ascii="仿宋_GB2312" w:eastAsia="仿宋_GB2312"/>
          <w:sz w:val="24"/>
          <w:szCs w:val="24"/>
        </w:rPr>
        <w:t xml:space="preserve">  学校自主采购活动中，</w:t>
      </w:r>
      <w:r>
        <w:rPr>
          <w:rFonts w:hint="eastAsia" w:ascii="仿宋_GB2312" w:hAnsi="微软雅黑" w:eastAsia="仿宋_GB2312"/>
          <w:sz w:val="24"/>
          <w:szCs w:val="24"/>
        </w:rPr>
        <w:t>投诉人投诉时,应当提交投诉书和必要的证明材料。投诉书应当包括下列内容：</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（一）投诉人和被投诉人的姓名或者名称、投诉人的通讯地址、邮编、联系人及联系电话；</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（二）质疑和质疑答复情况说明及相关证明材料；</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（三）具体、明确的投诉事项和与投诉事项相关的投诉请求；</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（四）事实依据；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（五）法律依据；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（六）提起投诉的日期。</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投诉人为自然人的，应当由本人签字；投诉人为法人或者其他组织的，应当由法定代表人、主要负责人，或者其授权代表签字或者盖章，并加盖公章。</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第二十五条</w:t>
      </w:r>
      <w:r>
        <w:rPr>
          <w:rFonts w:hint="eastAsia" w:ascii="仿宋_GB2312" w:hAnsi="微软雅黑" w:eastAsia="仿宋_GB2312"/>
          <w:sz w:val="24"/>
          <w:szCs w:val="24"/>
        </w:rPr>
        <w:t xml:space="preserve">  投诉人应当根据本办法第七条规定的信息内容，并按照其规定的方式提起投诉。</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投诉人提起投诉应当符合下列条件：</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（一）提起投诉前已依法、依规进行质疑；</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（二）投诉书内容符合本办法的规定；</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（三）在投诉有效期限内提起投诉；</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（四）同一投诉事项未经投诉处理。</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第二十六条</w:t>
      </w:r>
      <w:r>
        <w:rPr>
          <w:rFonts w:hint="eastAsia" w:ascii="仿宋_GB2312" w:hAnsi="微软雅黑" w:eastAsia="仿宋_GB2312"/>
          <w:sz w:val="24"/>
          <w:szCs w:val="24"/>
        </w:rPr>
        <w:t xml:space="preserve">  供应商投诉的事项不得超出已质疑事项的范围，但基于质疑答复内容提出的投诉事项除外。</w:t>
      </w:r>
    </w:p>
    <w:p>
      <w:pPr>
        <w:pStyle w:val="24"/>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sz w:val="30"/>
          <w:szCs w:val="30"/>
        </w:rPr>
      </w:pPr>
    </w:p>
    <w:p>
      <w:pPr>
        <w:pStyle w:val="24"/>
        <w:shd w:val="clear" w:color="auto" w:fill="FFFFFF"/>
        <w:adjustRightInd w:val="0"/>
        <w:snapToGrid w:val="0"/>
        <w:spacing w:before="0" w:beforeAutospacing="0" w:after="0" w:afterAutospacing="0" w:line="560" w:lineRule="exact"/>
        <w:jc w:val="center"/>
        <w:rPr>
          <w:rFonts w:ascii="黑体" w:hAnsi="黑体" w:eastAsia="黑体"/>
          <w:sz w:val="30"/>
          <w:szCs w:val="30"/>
        </w:rPr>
      </w:pPr>
      <w:r>
        <w:rPr>
          <w:rStyle w:val="30"/>
          <w:rFonts w:hint="eastAsia" w:ascii="黑体" w:hAnsi="黑体" w:eastAsia="黑体"/>
          <w:sz w:val="30"/>
          <w:szCs w:val="30"/>
        </w:rPr>
        <w:t xml:space="preserve">第五章 </w:t>
      </w:r>
      <w:r>
        <w:rPr>
          <w:rStyle w:val="30"/>
          <w:rFonts w:hint="eastAsia" w:ascii="微软雅黑" w:hAnsi="微软雅黑" w:eastAsia="黑体"/>
          <w:sz w:val="30"/>
          <w:szCs w:val="30"/>
        </w:rPr>
        <w:t> </w:t>
      </w:r>
      <w:r>
        <w:rPr>
          <w:rStyle w:val="30"/>
          <w:rFonts w:hint="eastAsia" w:ascii="黑体" w:hAnsi="黑体" w:eastAsia="黑体"/>
          <w:sz w:val="30"/>
          <w:szCs w:val="30"/>
        </w:rPr>
        <w:t>投诉的处理</w:t>
      </w:r>
    </w:p>
    <w:p>
      <w:pPr>
        <w:pStyle w:val="24"/>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sz w:val="30"/>
          <w:szCs w:val="30"/>
        </w:rPr>
      </w:pP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第二十七条</w:t>
      </w:r>
      <w:r>
        <w:rPr>
          <w:rFonts w:hint="eastAsia" w:ascii="仿宋_GB2312" w:hAnsi="微软雅黑" w:eastAsia="仿宋_GB2312"/>
          <w:sz w:val="24"/>
          <w:szCs w:val="24"/>
        </w:rPr>
        <w:t xml:space="preserve">  监察处收到投诉书后，应当在5个工作日内进行审查，审查后按照下列情况处理：</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投诉书内容不符合本办法第二十四条规定的，应当在收到投诉书5个工作日内一次性书面通知投诉人补正。补正通知应当载明需要补正的事项和合理的补正期限。未按照补正期限进行补正或者补正后仍不符合规定的，不予受理。</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（二）投诉不符合本办法第二十五条规定条件的，应当在3个工作日内书面告知投诉人不予受理，并说明理由。</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（三）投诉不属于本部门管辖的，应当在3个工作日内书面告知投诉人向有管辖权的部门提起投诉。</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（四）投诉符合本办法第二十四条、第二十五条规定的，自收到投诉书之日起即为受理，并在收到投诉后8个工作日内向被投诉人和其他与投诉事项有关的当事人发出投诉答复通知书及投诉书副本。</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第二十八条</w:t>
      </w:r>
      <w:r>
        <w:rPr>
          <w:rFonts w:hint="eastAsia" w:ascii="仿宋_GB2312" w:hAnsi="微软雅黑" w:eastAsia="仿宋_GB2312"/>
          <w:sz w:val="24"/>
          <w:szCs w:val="24"/>
        </w:rPr>
        <w:t xml:space="preserve">  国资处和其他与投诉事项有关的当事人应当在收到投诉答复通知书及投诉书副本之日起5个工作日内，以书面形式向监察处作出说明，并提交相关证据、依据和其他有关材料。</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第二十九条</w:t>
      </w:r>
      <w:r>
        <w:rPr>
          <w:rFonts w:hint="eastAsia" w:ascii="仿宋_GB2312" w:hAnsi="微软雅黑" w:eastAsia="仿宋_GB2312"/>
          <w:sz w:val="24"/>
          <w:szCs w:val="24"/>
        </w:rPr>
        <w:t xml:space="preserve">  监察处处理投诉事项原则上采用书面审查的方式。监察处认为有必要时，可以进行调查取证或者组织质证。</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第三十条</w:t>
      </w:r>
      <w:r>
        <w:rPr>
          <w:rFonts w:hint="eastAsia" w:ascii="仿宋_GB2312" w:hAnsi="微软雅黑" w:eastAsia="仿宋_GB2312"/>
          <w:sz w:val="24"/>
          <w:szCs w:val="24"/>
        </w:rPr>
        <w:t xml:space="preserve">  监察处可以根据法律、法规规定或者职责权限，委托相关单位或者第三方开展调查取证、检验、检测、鉴定。</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质证应当通知相关当事人到场，并制作质证笔录。质证笔录应当由当事人签字确认。</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第三十一条</w:t>
      </w:r>
      <w:r>
        <w:rPr>
          <w:rFonts w:hint="eastAsia" w:ascii="仿宋_GB2312" w:hAnsi="微软雅黑" w:eastAsia="仿宋_GB2312"/>
          <w:sz w:val="24"/>
          <w:szCs w:val="24"/>
        </w:rPr>
        <w:t xml:space="preserve">  监察处依法、依规进行调查取证时，投诉人、国资处以及与投诉事项有关的部门及人员应当如实反映情况，并提供监察处所需要的相关材料。</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第三十二条</w:t>
      </w:r>
      <w:r>
        <w:rPr>
          <w:rFonts w:hint="eastAsia" w:ascii="仿宋_GB2312" w:hAnsi="微软雅黑" w:eastAsia="仿宋_GB2312"/>
          <w:sz w:val="24"/>
          <w:szCs w:val="24"/>
        </w:rPr>
        <w:t xml:space="preserve">  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第三十三条</w:t>
      </w:r>
      <w:r>
        <w:rPr>
          <w:rFonts w:hint="eastAsia" w:ascii="仿宋_GB2312" w:hAnsi="微软雅黑" w:eastAsia="仿宋_GB2312"/>
          <w:sz w:val="24"/>
          <w:szCs w:val="24"/>
        </w:rPr>
        <w:t xml:space="preserve">  监察处应当自收到投诉之日起30个工作日内，对投诉事项作出处理决定。</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第三十四条</w:t>
      </w:r>
      <w:r>
        <w:rPr>
          <w:rFonts w:hint="eastAsia" w:ascii="仿宋_GB2312" w:hAnsi="微软雅黑" w:eastAsia="仿宋_GB2312"/>
          <w:sz w:val="24"/>
          <w:szCs w:val="24"/>
        </w:rPr>
        <w:t xml:space="preserve">  监察处处理投诉事项，需要检验、检测、鉴定、专家评审以及需要投诉人补正材料的，所需时间不计算在投诉处理期限内。</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前款所称所需时间，是指监察处向相关单位、第三方、投诉人发出相关文书、补正通知之日至收到相关反馈文书或材料之日。</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监察处向相关单位、第三方开展检验、检测、鉴定、专家评审的，应当将所需时间告知投诉人。</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第三十五条</w:t>
      </w:r>
      <w:r>
        <w:rPr>
          <w:rFonts w:hint="eastAsia" w:ascii="仿宋_GB2312" w:hAnsi="微软雅黑" w:eastAsia="仿宋_GB2312"/>
          <w:sz w:val="24"/>
          <w:szCs w:val="24"/>
        </w:rPr>
        <w:t xml:space="preserve">  监察处在处理投诉事项期间，可以视具体情况书面通知国资处暂停采购活动，暂停采购活动时间最长不得超过30日。</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国资处收到暂停采购活动通知后应当立即中止采购活动，在法定的暂停期限结束前或者监察处发出恢复采购活动通知前，不得进行该项采购活动。</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第三十六条</w:t>
      </w:r>
      <w:r>
        <w:rPr>
          <w:rFonts w:hint="eastAsia" w:ascii="仿宋_GB2312" w:hAnsi="微软雅黑" w:eastAsia="仿宋_GB2312"/>
          <w:sz w:val="24"/>
          <w:szCs w:val="24"/>
        </w:rPr>
        <w:t xml:space="preserve">  投诉处理过程中，有下列情形之一的，监察处应当驳回投诉：</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（一）受理后发现投诉不符合受理条件；</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（二）投诉事项缺乏事实依据，投诉事项不成立；</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（三）投诉人捏造事实或者提供虚假材料；</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（四）投诉人以非法手段取得证明材料。证据来源的合法性存在明显疑问，投诉人无法证明其取得方式合法的，视为以非法手段取得证明材料。</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第三十七条</w:t>
      </w:r>
      <w:r>
        <w:rPr>
          <w:rFonts w:hint="eastAsia" w:ascii="仿宋_GB2312" w:hAnsi="微软雅黑" w:eastAsia="仿宋_GB2312"/>
          <w:sz w:val="24"/>
          <w:szCs w:val="24"/>
        </w:rPr>
        <w:t xml:space="preserve">  监察处受理投诉后,投诉人书面申请撤回投诉的，监察处应当终止投诉处理程序，并书面告知相关当事人。</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第三十八条</w:t>
      </w:r>
      <w:r>
        <w:rPr>
          <w:rFonts w:hint="eastAsia" w:ascii="仿宋_GB2312" w:hAnsi="微软雅黑" w:eastAsia="仿宋_GB2312"/>
          <w:sz w:val="24"/>
          <w:szCs w:val="24"/>
        </w:rPr>
        <w:t xml:space="preserve">  投诉人对采购文件提起的投诉事项，监察处经查证属实的，应当认定投诉事项成立。经认定成立的投诉事项不影响采购结果的，继续开展采购活动；影响或者可能影响采购结果的，监察处按照下列情况处理：</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（一）未确定中标或者成交供应商的，责令重新开展采购活动。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（二）已确定中标或者成交供应商但尚未签订采购合同的，认定中标或者成交结果无效，责令重新开展采购活动。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（三）采购合同已经签订但尚未履行的，撤销合同，责令重新开展采购活动。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（四）采购合同已经履行，给他人造成损失的，相关当事人可依法提起诉讼,由责任人承担赔偿责任。</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第三十九条</w:t>
      </w:r>
      <w:bookmarkStart w:id="145" w:name="OLE_LINK11"/>
      <w:bookmarkStart w:id="146" w:name="OLE_LINK13"/>
      <w:bookmarkStart w:id="147" w:name="OLE_LINK12"/>
      <w:r>
        <w:rPr>
          <w:rFonts w:hint="eastAsia" w:ascii="仿宋_GB2312" w:hAnsi="微软雅黑" w:eastAsia="仿宋_GB2312"/>
          <w:sz w:val="24"/>
          <w:szCs w:val="24"/>
        </w:rPr>
        <w:t xml:space="preserve">  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45"/>
      <w:bookmarkEnd w:id="146"/>
      <w:bookmarkEnd w:id="147"/>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bookmarkStart w:id="148" w:name="OLE_LINK14"/>
      <w:bookmarkStart w:id="149" w:name="OLE_LINK15"/>
      <w:r>
        <w:rPr>
          <w:rFonts w:hint="eastAsia" w:ascii="仿宋_GB2312" w:hAnsi="微软雅黑" w:eastAsia="仿宋_GB2312"/>
          <w:sz w:val="24"/>
          <w:szCs w:val="24"/>
        </w:rPr>
        <w:t>（一）未确定中标或者成交供应商的，责令重新开展采购活动。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（四）采购合同已经履行，给他人造成损失的，相关当事人可依法提起诉讼,由责任人承担赔偿责任。</w:t>
      </w:r>
    </w:p>
    <w:bookmarkEnd w:id="148"/>
    <w:bookmarkEnd w:id="149"/>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投诉人对废标行为提起的投诉事项成立的，监察处应当认定废标行为无效。</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第四十条</w:t>
      </w:r>
      <w:r>
        <w:rPr>
          <w:rFonts w:hint="eastAsia" w:ascii="仿宋_GB2312" w:hAnsi="微软雅黑" w:eastAsia="仿宋_GB2312"/>
          <w:sz w:val="24"/>
          <w:szCs w:val="24"/>
        </w:rPr>
        <w:t xml:space="preserve">  监察处作出处理决定，应当制作投诉处理决定书，并加盖公章。投诉处理决定书应当包括下列内容：</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（一）投诉人和被投诉人的姓名或者名称、通讯地址等；</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（二）处理决定查明的事实和相关依据，具体处理决定和法律依据；</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（三）告知相关当事人申请行政复议的权利、行政复议机关和行政复议申请期限，以及提起行政诉讼的权利和起诉期限；</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（四）作出处理决定的日期。</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第四十一条</w:t>
      </w:r>
      <w:r>
        <w:rPr>
          <w:rFonts w:hint="eastAsia" w:ascii="仿宋_GB2312" w:hAnsi="微软雅黑" w:eastAsia="仿宋_GB2312"/>
          <w:sz w:val="24"/>
          <w:szCs w:val="24"/>
        </w:rPr>
        <w:t xml:space="preserve">  监察处应当将投诉处理决定书送达投诉人和与投诉事项有关的当事人，并及时将投诉处理结果在校园网公告。</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第四十二条</w:t>
      </w:r>
      <w:r>
        <w:rPr>
          <w:rFonts w:hint="eastAsia" w:ascii="仿宋_GB2312" w:hAnsi="微软雅黑" w:eastAsia="仿宋_GB2312"/>
          <w:sz w:val="24"/>
          <w:szCs w:val="24"/>
        </w:rPr>
        <w:t xml:space="preserve">  监察处应当建立投诉处理档案管理制度。</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p>
    <w:p>
      <w:pPr>
        <w:pStyle w:val="24"/>
        <w:shd w:val="clear" w:color="auto" w:fill="FFFFFF"/>
        <w:adjustRightInd w:val="0"/>
        <w:snapToGrid w:val="0"/>
        <w:spacing w:before="0" w:beforeAutospacing="0" w:after="0" w:afterAutospacing="0" w:line="560" w:lineRule="exact"/>
        <w:jc w:val="center"/>
        <w:rPr>
          <w:rStyle w:val="30"/>
          <w:rFonts w:ascii="仿宋_GB2312" w:hAnsi="微软雅黑" w:eastAsia="仿宋_GB2312"/>
          <w:sz w:val="24"/>
          <w:szCs w:val="24"/>
        </w:rPr>
      </w:pPr>
    </w:p>
    <w:p>
      <w:pPr>
        <w:pStyle w:val="24"/>
        <w:shd w:val="clear" w:color="auto" w:fill="FFFFFF"/>
        <w:adjustRightInd w:val="0"/>
        <w:snapToGrid w:val="0"/>
        <w:spacing w:before="0" w:beforeAutospacing="0" w:after="0" w:afterAutospacing="0" w:line="560" w:lineRule="exact"/>
        <w:jc w:val="center"/>
        <w:rPr>
          <w:rFonts w:ascii="黑体" w:hAnsi="黑体" w:eastAsia="黑体"/>
          <w:sz w:val="30"/>
          <w:szCs w:val="30"/>
        </w:rPr>
      </w:pPr>
      <w:r>
        <w:rPr>
          <w:rStyle w:val="30"/>
          <w:rFonts w:hint="eastAsia" w:ascii="黑体" w:hAnsi="黑体" w:eastAsia="黑体"/>
          <w:sz w:val="30"/>
          <w:szCs w:val="30"/>
        </w:rPr>
        <w:t xml:space="preserve">第六章 </w:t>
      </w:r>
      <w:r>
        <w:rPr>
          <w:rStyle w:val="30"/>
          <w:rFonts w:hint="eastAsia" w:ascii="微软雅黑" w:hAnsi="微软雅黑" w:eastAsia="黑体"/>
          <w:sz w:val="30"/>
          <w:szCs w:val="30"/>
        </w:rPr>
        <w:t> </w:t>
      </w:r>
      <w:r>
        <w:rPr>
          <w:rStyle w:val="30"/>
          <w:rFonts w:hint="eastAsia" w:ascii="黑体" w:hAnsi="黑体" w:eastAsia="黑体"/>
          <w:sz w:val="30"/>
          <w:szCs w:val="30"/>
        </w:rPr>
        <w:t>法律责任</w:t>
      </w:r>
    </w:p>
    <w:p>
      <w:pPr>
        <w:pStyle w:val="24"/>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sz w:val="30"/>
          <w:szCs w:val="30"/>
        </w:rPr>
      </w:pP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第四十三条</w:t>
      </w:r>
      <w:r>
        <w:rPr>
          <w:rFonts w:hint="eastAsia" w:ascii="仿宋_GB2312" w:hAnsi="微软雅黑" w:eastAsia="仿宋_GB2312"/>
          <w:sz w:val="24"/>
          <w:szCs w:val="24"/>
        </w:rPr>
        <w:t xml:space="preserve">  国资处、采购代理机构有下列情形之一的，由监察处责令限期改正；情节严重的，给予警告，对直接负责的主管人员和其他直接责任人员依法依规追究相应责任：</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（一）拒收质疑供应商在质疑期内发出的质疑函；</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（二）对质疑不予答复或者答复与事实明显不符，并不能作出合理说明；</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（三）拒绝配合监察处处理投诉事宜。</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第四十四条</w:t>
      </w:r>
      <w:r>
        <w:rPr>
          <w:rFonts w:hint="eastAsia" w:ascii="仿宋_GB2312" w:hAnsi="微软雅黑" w:eastAsia="仿宋_GB2312"/>
          <w:sz w:val="24"/>
          <w:szCs w:val="24"/>
        </w:rPr>
        <w:t xml:space="preserve">  投诉人在学校采购活动中2年内三次以上投诉查无实据的，列入不良行为记录名单。</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投诉人有下列行为之一的，属于虚假、恶意投诉，由国资处、监察处列入不良行为记录名单，禁止其1至3年内参加学校采购活动：</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（一）捏造事实;</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（二）提供虚假材料;</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（三）以非法手段取得证明材料。证据来源的合法性存在明显疑问，投诉人无法证明其取得方式合法的，视为以非法手段取得证明材料。</w:t>
      </w:r>
    </w:p>
    <w:p>
      <w:pPr>
        <w:spacing w:line="560" w:lineRule="exact"/>
        <w:ind w:firstLine="482" w:firstLineChars="200"/>
        <w:rPr>
          <w:rFonts w:ascii="仿宋_GB2312" w:hAnsi="宋体" w:eastAsia="仿宋_GB2312" w:cs="宋体"/>
          <w:sz w:val="24"/>
          <w:szCs w:val="24"/>
        </w:rPr>
      </w:pPr>
      <w:r>
        <w:rPr>
          <w:rStyle w:val="30"/>
          <w:rFonts w:hint="eastAsia" w:ascii="仿宋_GB2312" w:hAnsi="微软雅黑" w:eastAsia="仿宋_GB2312"/>
          <w:sz w:val="24"/>
          <w:szCs w:val="24"/>
        </w:rPr>
        <w:t xml:space="preserve">第四十五条  </w:t>
      </w:r>
      <w:r>
        <w:rPr>
          <w:rFonts w:hint="eastAsia" w:ascii="仿宋_GB2312" w:hAnsi="宋体" w:eastAsia="仿宋_GB2312" w:cs="宋体"/>
          <w:sz w:val="24"/>
          <w:szCs w:val="24"/>
        </w:rPr>
        <w:t>国资处在处理质疑过程中，发现采购当事人有违法违规行为的，应在规定的权限范围内及时给予处理；无权处理的，应移交有关部门依法依规处理。</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第四十六条</w:t>
      </w:r>
      <w:r>
        <w:rPr>
          <w:rFonts w:hint="eastAsia" w:ascii="仿宋_GB2312" w:hAnsi="宋体" w:eastAsia="仿宋_GB2312" w:cs="宋体"/>
          <w:sz w:val="24"/>
          <w:szCs w:val="24"/>
        </w:rPr>
        <w:t xml:space="preserve">  国资处和监察处的工作人员在处理质疑、投诉过程中违反本办法规定及存在滥用职权、玩忽职守、徇私舞弊等行为的，学校将依法依</w:t>
      </w:r>
      <w:bookmarkStart w:id="150" w:name="OLE_LINK16"/>
      <w:bookmarkStart w:id="151" w:name="OLE_LINK18"/>
      <w:bookmarkStart w:id="152" w:name="OLE_LINK17"/>
      <w:r>
        <w:rPr>
          <w:rFonts w:hint="eastAsia" w:ascii="仿宋_GB2312" w:hAnsi="宋体" w:eastAsia="仿宋_GB2312" w:cs="宋体"/>
          <w:sz w:val="24"/>
          <w:szCs w:val="24"/>
        </w:rPr>
        <w:t>规</w:t>
      </w:r>
      <w:bookmarkEnd w:id="150"/>
      <w:bookmarkEnd w:id="151"/>
      <w:bookmarkEnd w:id="152"/>
      <w:r>
        <w:rPr>
          <w:rFonts w:hint="eastAsia" w:ascii="仿宋_GB2312" w:hAnsi="宋体" w:eastAsia="仿宋_GB2312" w:cs="宋体"/>
          <w:sz w:val="24"/>
          <w:szCs w:val="24"/>
        </w:rPr>
        <w:t>追究其相应责任。</w:t>
      </w:r>
    </w:p>
    <w:p>
      <w:pPr>
        <w:pStyle w:val="24"/>
        <w:shd w:val="clear" w:color="auto" w:fill="FFFFFF"/>
        <w:adjustRightInd w:val="0"/>
        <w:snapToGrid w:val="0"/>
        <w:spacing w:before="0" w:beforeAutospacing="0" w:after="0" w:afterAutospacing="0" w:line="560" w:lineRule="exact"/>
        <w:ind w:firstLine="482" w:firstLineChars="200"/>
        <w:jc w:val="both"/>
        <w:rPr>
          <w:rStyle w:val="30"/>
          <w:rFonts w:ascii="仿宋_GB2312" w:hAnsi="微软雅黑" w:eastAsia="仿宋_GB2312"/>
          <w:sz w:val="24"/>
          <w:szCs w:val="24"/>
        </w:rPr>
      </w:pPr>
      <w:r>
        <w:rPr>
          <w:rStyle w:val="30"/>
          <w:rFonts w:hint="eastAsia" w:ascii="仿宋_GB2312" w:hAnsi="微软雅黑" w:eastAsia="仿宋_GB2312"/>
          <w:sz w:val="24"/>
          <w:szCs w:val="24"/>
        </w:rPr>
        <w:t>　</w:t>
      </w:r>
    </w:p>
    <w:p>
      <w:pPr>
        <w:pStyle w:val="24"/>
        <w:shd w:val="clear" w:color="auto" w:fill="FFFFFF"/>
        <w:adjustRightInd w:val="0"/>
        <w:snapToGrid w:val="0"/>
        <w:spacing w:before="0" w:beforeAutospacing="0" w:after="0" w:afterAutospacing="0" w:line="560" w:lineRule="exact"/>
        <w:jc w:val="center"/>
        <w:rPr>
          <w:rStyle w:val="30"/>
          <w:rFonts w:ascii="黑体" w:hAnsi="黑体" w:eastAsia="黑体"/>
          <w:sz w:val="24"/>
          <w:szCs w:val="24"/>
        </w:rPr>
      </w:pPr>
      <w:r>
        <w:rPr>
          <w:rStyle w:val="30"/>
          <w:rFonts w:hint="eastAsia" w:ascii="黑体" w:hAnsi="黑体" w:eastAsia="黑体"/>
          <w:sz w:val="24"/>
          <w:szCs w:val="24"/>
        </w:rPr>
        <w:t xml:space="preserve">第七章 </w:t>
      </w:r>
      <w:r>
        <w:rPr>
          <w:rStyle w:val="30"/>
          <w:rFonts w:hint="eastAsia" w:ascii="微软雅黑" w:hAnsi="微软雅黑" w:eastAsia="黑体"/>
          <w:sz w:val="24"/>
          <w:szCs w:val="24"/>
        </w:rPr>
        <w:t> </w:t>
      </w:r>
      <w:r>
        <w:rPr>
          <w:rStyle w:val="30"/>
          <w:rFonts w:hint="eastAsia" w:ascii="黑体" w:hAnsi="黑体" w:eastAsia="黑体"/>
          <w:sz w:val="24"/>
          <w:szCs w:val="24"/>
        </w:rPr>
        <w:t>附则</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b/>
          <w:sz w:val="24"/>
          <w:szCs w:val="24"/>
        </w:rPr>
      </w:pP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第四十七条</w:t>
      </w:r>
      <w:r>
        <w:rPr>
          <w:rFonts w:hint="eastAsia" w:ascii="仿宋_GB2312" w:hAnsi="微软雅黑" w:eastAsia="仿宋_GB2312"/>
          <w:sz w:val="24"/>
          <w:szCs w:val="24"/>
        </w:rPr>
        <w:t xml:space="preserve">  质疑函和投诉书应当使用中文。质疑和投诉文本采用我校制定的范本。</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第四十八条</w:t>
      </w:r>
      <w:r>
        <w:rPr>
          <w:rFonts w:hint="eastAsia" w:ascii="仿宋_GB2312" w:hAnsi="微软雅黑" w:eastAsia="仿宋_GB2312"/>
          <w:sz w:val="24"/>
          <w:szCs w:val="24"/>
        </w:rPr>
        <w:t xml:space="preserve">  本办法由学校国有资产管理处负责解释。</w:t>
      </w:r>
    </w:p>
    <w:p>
      <w:pPr>
        <w:pStyle w:val="24"/>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 xml:space="preserve">第四十九条  </w:t>
      </w:r>
      <w:r>
        <w:rPr>
          <w:rFonts w:hint="eastAsia" w:ascii="仿宋_GB2312" w:hAnsi="微软雅黑" w:eastAsia="仿宋_GB2312"/>
          <w:sz w:val="24"/>
          <w:szCs w:val="24"/>
        </w:rPr>
        <w:t>本办法自发布之日起施行。</w:t>
      </w:r>
    </w:p>
    <w:p>
      <w:pPr>
        <w:pStyle w:val="24"/>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p>
    <w:p>
      <w:pPr>
        <w:rPr>
          <w:rFonts w:ascii="宋体" w:hAnsi="宋体"/>
          <w:b/>
          <w:sz w:val="24"/>
          <w:szCs w:val="24"/>
        </w:rPr>
      </w:pPr>
      <w:r>
        <w:rPr>
          <w:rFonts w:hint="eastAsia" w:ascii="宋体" w:hAnsi="宋体"/>
          <w:b/>
          <w:sz w:val="24"/>
          <w:szCs w:val="24"/>
        </w:rPr>
        <w:t>附件2：</w:t>
      </w:r>
    </w:p>
    <w:p>
      <w:pPr>
        <w:jc w:val="center"/>
        <w:rPr>
          <w:rFonts w:ascii="仿宋" w:hAnsi="仿宋" w:eastAsia="仿宋" w:cs="仿宋"/>
          <w:b/>
          <w:bCs/>
          <w:sz w:val="24"/>
          <w:szCs w:val="24"/>
        </w:rPr>
      </w:pPr>
      <w:r>
        <w:rPr>
          <w:rFonts w:hint="eastAsia" w:ascii="仿宋" w:hAnsi="仿宋" w:eastAsia="仿宋" w:cs="仿宋"/>
          <w:b/>
          <w:bCs/>
          <w:sz w:val="24"/>
          <w:szCs w:val="24"/>
        </w:rPr>
        <w:t>质疑函范本</w:t>
      </w:r>
    </w:p>
    <w:p>
      <w:pPr>
        <w:adjustRightInd w:val="0"/>
        <w:snapToGrid w:val="0"/>
        <w:spacing w:before="312" w:beforeLines="100" w:line="360" w:lineRule="auto"/>
        <w:rPr>
          <w:rFonts w:ascii="黑体" w:hAnsi="黑体" w:eastAsia="黑体" w:cs="仿宋"/>
          <w:bCs/>
          <w:sz w:val="24"/>
          <w:szCs w:val="24"/>
        </w:rPr>
      </w:pPr>
      <w:r>
        <w:rPr>
          <w:rFonts w:hint="eastAsia" w:ascii="黑体" w:hAnsi="黑体" w:eastAsia="黑体" w:cs="仿宋"/>
          <w:bCs/>
          <w:sz w:val="24"/>
          <w:szCs w:val="24"/>
        </w:rPr>
        <w:t>一、质疑供应商基本信息</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ascii="仿宋" w:hAnsi="仿宋" w:eastAsia="仿宋" w:cs="仿宋"/>
          <w:sz w:val="24"/>
          <w:szCs w:val="24"/>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w:t>
      </w:r>
      <w:r>
        <w:rPr>
          <w:rFonts w:ascii="仿宋" w:hAnsi="仿宋" w:eastAsia="仿宋" w:cs="仿宋"/>
          <w:sz w:val="24"/>
          <w:szCs w:val="24"/>
        </w:rPr>
        <w:t xml:space="preserve"> </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二、质疑项目基本情况</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r>
        <w:rPr>
          <w:rFonts w:hint="eastAsia" w:ascii="仿宋" w:hAnsi="仿宋" w:eastAsia="仿宋" w:cs="仿宋"/>
          <w:sz w:val="24"/>
          <w:szCs w:val="24"/>
          <w:u w:val="dotted"/>
        </w:rPr>
        <w:t xml:space="preserve">                                           </w:t>
      </w:r>
    </w:p>
    <w:p>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三、质疑事项具体内容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u w:val="dotted"/>
        </w:rPr>
        <w:t xml:space="preserve">                                                     </w:t>
      </w:r>
    </w:p>
    <w:p>
      <w:pPr>
        <w:tabs>
          <w:tab w:val="left" w:pos="2175"/>
        </w:tabs>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r>
        <w:rPr>
          <w:rFonts w:ascii="仿宋" w:hAnsi="仿宋" w:eastAsia="仿宋" w:cs="仿宋"/>
          <w:sz w:val="24"/>
          <w:szCs w:val="24"/>
        </w:rPr>
        <w:tab/>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四、与质疑事项相关的质疑请求</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w:t>
      </w:r>
      <w:r>
        <w:rPr>
          <w:rFonts w:hint="eastAsia" w:ascii="仿宋" w:hAnsi="仿宋" w:eastAsia="仿宋" w:cs="仿宋"/>
          <w:sz w:val="24"/>
          <w:szCs w:val="24"/>
          <w:u w:val="dotted"/>
        </w:rPr>
        <w:t xml:space="preserve">                                               </w:t>
      </w:r>
    </w:p>
    <w:p>
      <w:pPr>
        <w:rPr>
          <w:rFonts w:ascii="仿宋_GB2312" w:eastAsia="仿宋_GB2312"/>
          <w:sz w:val="24"/>
          <w:szCs w:val="24"/>
        </w:rPr>
      </w:pPr>
      <w:r>
        <w:rPr>
          <w:rFonts w:hint="eastAsia" w:ascii="仿宋_GB2312" w:eastAsia="仿宋_GB2312"/>
          <w:sz w:val="24"/>
          <w:szCs w:val="24"/>
        </w:rPr>
        <w:t xml:space="preserve">签字(签章)：                   公章：                      </w:t>
      </w:r>
    </w:p>
    <w:p>
      <w:pPr>
        <w:rPr>
          <w:rFonts w:ascii="仿宋_GB2312" w:eastAsia="仿宋_GB2312"/>
          <w:sz w:val="24"/>
          <w:szCs w:val="24"/>
        </w:rPr>
      </w:pPr>
      <w:r>
        <w:rPr>
          <w:rFonts w:hint="eastAsia" w:ascii="仿宋_GB2312" w:eastAsia="仿宋_GB2312"/>
          <w:sz w:val="24"/>
          <w:szCs w:val="24"/>
        </w:rPr>
        <w:t xml:space="preserve">日期：    </w:t>
      </w:r>
    </w:p>
    <w:p>
      <w:pPr>
        <w:adjustRightInd w:val="0"/>
        <w:snapToGrid w:val="0"/>
        <w:spacing w:line="360" w:lineRule="auto"/>
        <w:rPr>
          <w:rFonts w:ascii="仿宋" w:hAnsi="仿宋" w:eastAsia="仿宋" w:cs="仿宋"/>
          <w:sz w:val="24"/>
          <w:szCs w:val="24"/>
        </w:rPr>
      </w:pP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r>
        <w:rPr>
          <w:rFonts w:ascii="宋体" w:hAnsi="宋体" w:cs="宋体"/>
          <w:b/>
          <w:bCs/>
          <w:kern w:val="36"/>
          <w:sz w:val="24"/>
          <w:szCs w:val="24"/>
        </w:rPr>
        <w:br w:type="page"/>
      </w:r>
    </w:p>
    <w:p>
      <w:pPr>
        <w:rPr>
          <w:rFonts w:ascii="黑体" w:hAnsi="黑体" w:eastAsia="黑体"/>
          <w:b/>
          <w:sz w:val="32"/>
          <w:szCs w:val="32"/>
        </w:rPr>
      </w:pPr>
      <w:r>
        <w:rPr>
          <w:rFonts w:hint="eastAsia" w:ascii="黑体" w:hAnsi="黑体" w:eastAsia="黑体"/>
          <w:b/>
          <w:sz w:val="32"/>
          <w:szCs w:val="32"/>
        </w:rPr>
        <w:t>质疑函制作说明：</w:t>
      </w:r>
    </w:p>
    <w:p>
      <w:pPr>
        <w:widowControl/>
        <w:ind w:firstLine="480" w:firstLineChars="200"/>
        <w:jc w:val="left"/>
        <w:rPr>
          <w:rFonts w:ascii="仿宋_GB2312" w:eastAsia="仿宋_GB2312"/>
          <w:sz w:val="24"/>
          <w:szCs w:val="24"/>
        </w:rPr>
      </w:pPr>
      <w:r>
        <w:rPr>
          <w:rFonts w:hint="eastAsia" w:ascii="仿宋_GB2312" w:eastAsia="仿宋_GB2312"/>
          <w:sz w:val="24"/>
          <w:szCs w:val="24"/>
        </w:rPr>
        <w:t>1.供应商提出质疑时，应提交质疑函和必要的证明材料。</w:t>
      </w:r>
    </w:p>
    <w:p>
      <w:pPr>
        <w:widowControl/>
        <w:ind w:firstLine="480" w:firstLineChars="200"/>
        <w:jc w:val="left"/>
        <w:rPr>
          <w:rFonts w:ascii="仿宋_GB2312" w:eastAsia="仿宋_GB2312"/>
          <w:sz w:val="24"/>
          <w:szCs w:val="24"/>
        </w:rPr>
      </w:pPr>
      <w:r>
        <w:rPr>
          <w:rFonts w:hint="eastAsia" w:ascii="仿宋_GB2312" w:eastAsia="仿宋_GB2312"/>
          <w:sz w:val="24"/>
          <w:szCs w:val="24"/>
        </w:rPr>
        <w:t>2.质疑供应商若委托代理人进行质疑的，质疑函应按要求列明“授权代表”的有关内容，并在附件中提交由质疑</w:t>
      </w:r>
      <w:r>
        <w:rPr>
          <w:rFonts w:hint="eastAsia" w:ascii="仿宋_GB2312" w:hAnsi="宋体" w:eastAsia="仿宋_GB2312" w:cs="宋体"/>
          <w:kern w:val="0"/>
          <w:sz w:val="24"/>
          <w:szCs w:val="24"/>
        </w:rPr>
        <w:t>供应商签署的授权委托书。授权委托书应载明代理人的姓名或者名称、代理事项、具体权限、期限和相关事项。</w:t>
      </w:r>
    </w:p>
    <w:p>
      <w:pPr>
        <w:widowControl/>
        <w:ind w:firstLine="480" w:firstLineChars="200"/>
        <w:jc w:val="left"/>
        <w:rPr>
          <w:rFonts w:ascii="仿宋_GB2312" w:eastAsia="仿宋_GB2312"/>
          <w:sz w:val="24"/>
          <w:szCs w:val="24"/>
        </w:rPr>
      </w:pPr>
      <w:r>
        <w:rPr>
          <w:rFonts w:hint="eastAsia" w:ascii="仿宋_GB2312" w:eastAsia="仿宋_GB2312"/>
          <w:sz w:val="24"/>
          <w:szCs w:val="24"/>
        </w:rPr>
        <w:t>3.质疑供应商若对项目的某一分包进行质疑，质疑函中应列明具体分包号。</w:t>
      </w:r>
    </w:p>
    <w:p>
      <w:pPr>
        <w:widowControl/>
        <w:ind w:firstLine="480" w:firstLineChars="200"/>
        <w:jc w:val="left"/>
        <w:rPr>
          <w:rFonts w:ascii="仿宋_GB2312" w:eastAsia="仿宋_GB2312"/>
          <w:sz w:val="24"/>
          <w:szCs w:val="24"/>
        </w:rPr>
      </w:pPr>
      <w:r>
        <w:rPr>
          <w:rFonts w:hint="eastAsia" w:ascii="仿宋_GB2312" w:eastAsia="仿宋_GB2312"/>
          <w:sz w:val="24"/>
          <w:szCs w:val="24"/>
        </w:rPr>
        <w:t>4.质疑函的质疑事项应具体、明确，并有必要的事实依据和法律依据。</w:t>
      </w:r>
    </w:p>
    <w:p>
      <w:pPr>
        <w:widowControl/>
        <w:ind w:firstLine="480" w:firstLineChars="200"/>
        <w:jc w:val="left"/>
        <w:rPr>
          <w:rFonts w:ascii="仿宋_GB2312" w:eastAsia="仿宋_GB2312"/>
          <w:sz w:val="24"/>
          <w:szCs w:val="24"/>
        </w:rPr>
      </w:pPr>
      <w:r>
        <w:rPr>
          <w:rFonts w:hint="eastAsia" w:ascii="仿宋_GB2312" w:eastAsia="仿宋_GB2312"/>
          <w:sz w:val="24"/>
          <w:szCs w:val="24"/>
        </w:rPr>
        <w:t>5.质疑函的质疑请求应与质疑事项相关。</w:t>
      </w:r>
    </w:p>
    <w:p>
      <w:pPr>
        <w:adjustRightInd w:val="0"/>
        <w:snapToGrid w:val="0"/>
        <w:spacing w:line="360" w:lineRule="auto"/>
        <w:jc w:val="left"/>
        <w:rPr>
          <w:rFonts w:ascii="仿宋_GB2312" w:eastAsia="仿宋_GB2312"/>
          <w:sz w:val="24"/>
          <w:szCs w:val="24"/>
        </w:rPr>
      </w:pPr>
      <w:r>
        <w:rPr>
          <w:rFonts w:hint="eastAsia" w:ascii="仿宋_GB2312" w:eastAsia="仿宋_GB2312"/>
          <w:sz w:val="24"/>
          <w:szCs w:val="24"/>
        </w:rPr>
        <w:t>6.质疑供应商为自然人的，质疑函应由本人签字；质疑供应商为法人或者其他组织的，质疑函应由法定代表人、主要负责人，或者其授权代表签字或者盖章，并加盖公章。</w:t>
      </w: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r>
        <w:rPr>
          <w:rFonts w:ascii="宋体" w:hAnsi="宋体" w:cs="宋体"/>
          <w:b/>
          <w:bCs/>
          <w:kern w:val="36"/>
          <w:sz w:val="24"/>
          <w:szCs w:val="24"/>
        </w:rPr>
        <w:br w:type="page"/>
      </w:r>
    </w:p>
    <w:p>
      <w:pPr>
        <w:rPr>
          <w:rFonts w:ascii="宋体" w:hAnsi="宋体"/>
          <w:b/>
          <w:sz w:val="30"/>
          <w:szCs w:val="30"/>
        </w:rPr>
      </w:pPr>
      <w:r>
        <w:rPr>
          <w:rFonts w:hint="eastAsia" w:ascii="宋体" w:hAnsi="宋体"/>
          <w:b/>
          <w:sz w:val="30"/>
          <w:szCs w:val="30"/>
        </w:rPr>
        <w:t>附件3：</w:t>
      </w:r>
    </w:p>
    <w:p>
      <w:pPr>
        <w:jc w:val="center"/>
        <w:rPr>
          <w:rFonts w:ascii="宋体" w:hAnsi="宋体"/>
          <w:b/>
          <w:sz w:val="24"/>
          <w:szCs w:val="24"/>
        </w:rPr>
      </w:pPr>
      <w:r>
        <w:rPr>
          <w:rFonts w:hint="eastAsia" w:ascii="宋体" w:hAnsi="宋体"/>
          <w:b/>
          <w:sz w:val="24"/>
          <w:szCs w:val="24"/>
        </w:rPr>
        <w:t>投诉书范本</w:t>
      </w:r>
    </w:p>
    <w:p>
      <w:pPr>
        <w:rPr>
          <w:rFonts w:ascii="黑体" w:hAnsi="黑体" w:eastAsia="黑体"/>
          <w:sz w:val="24"/>
          <w:szCs w:val="24"/>
        </w:rPr>
      </w:pPr>
      <w:r>
        <w:rPr>
          <w:rFonts w:hint="eastAsia" w:ascii="黑体" w:hAnsi="黑体" w:eastAsia="黑体"/>
          <w:sz w:val="24"/>
          <w:szCs w:val="24"/>
        </w:rPr>
        <w:t>一、投诉相关主体基本情况</w:t>
      </w:r>
    </w:p>
    <w:p>
      <w:pPr>
        <w:rPr>
          <w:rFonts w:ascii="仿宋_GB2312" w:eastAsia="仿宋_GB2312"/>
          <w:sz w:val="24"/>
          <w:szCs w:val="24"/>
          <w:u w:val="dotted"/>
        </w:rPr>
      </w:pPr>
      <w:r>
        <w:rPr>
          <w:rFonts w:hint="eastAsia" w:ascii="仿宋_GB2312" w:eastAsia="仿宋_GB2312"/>
          <w:sz w:val="24"/>
          <w:szCs w:val="24"/>
        </w:rPr>
        <w:t>投诉人：</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tabs>
          <w:tab w:val="left" w:pos="6510"/>
        </w:tabs>
        <w:jc w:val="left"/>
        <w:rPr>
          <w:rFonts w:ascii="仿宋_GB2312" w:eastAsia="仿宋_GB2312"/>
          <w:sz w:val="24"/>
          <w:szCs w:val="24"/>
        </w:rPr>
      </w:pPr>
      <w:r>
        <w:rPr>
          <w:rFonts w:hint="eastAsia" w:ascii="仿宋_GB2312" w:eastAsia="仿宋_GB2312"/>
          <w:sz w:val="24"/>
          <w:szCs w:val="24"/>
        </w:rPr>
        <w:t>法定代表人/主要负责人：</w:t>
      </w:r>
      <w:r>
        <w:rPr>
          <w:rFonts w:hint="eastAsia" w:ascii="仿宋_GB2312" w:eastAsia="仿宋_GB2312"/>
          <w:sz w:val="24"/>
          <w:szCs w:val="24"/>
          <w:u w:val="dotted"/>
        </w:rPr>
        <w:t xml:space="preserve">                                   </w:t>
      </w:r>
      <w:r>
        <w:rPr>
          <w:rFonts w:hint="eastAsia" w:ascii="仿宋_GB2312" w:eastAsia="仿宋_GB2312"/>
          <w:sz w:val="24"/>
          <w:szCs w:val="24"/>
        </w:rPr>
        <w:t xml:space="preserve">  </w:t>
      </w:r>
    </w:p>
    <w:p>
      <w:pPr>
        <w:tabs>
          <w:tab w:val="left" w:pos="6510"/>
        </w:tabs>
        <w:rPr>
          <w:rFonts w:ascii="仿宋_GB2312" w:eastAsia="仿宋_GB2312"/>
          <w:sz w:val="24"/>
          <w:szCs w:val="24"/>
          <w:u w:val="dotted"/>
        </w:rPr>
      </w:pPr>
      <w:r>
        <w:rPr>
          <w:rFonts w:hint="eastAsia" w:ascii="仿宋_GB2312" w:eastAsia="仿宋_GB2312"/>
          <w:sz w:val="24"/>
          <w:szCs w:val="24"/>
        </w:rPr>
        <w:t>联系电话：</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rPr>
        <w:t>授权代表：</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被投诉人1：</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联系人：</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rPr>
      </w:pPr>
      <w:r>
        <w:rPr>
          <w:rFonts w:hint="eastAsia" w:ascii="仿宋_GB2312" w:eastAsia="仿宋_GB2312"/>
          <w:sz w:val="24"/>
          <w:szCs w:val="24"/>
        </w:rPr>
        <w:t>被投诉人2</w:t>
      </w:r>
    </w:p>
    <w:p>
      <w:pPr>
        <w:rPr>
          <w:rFonts w:ascii="仿宋_GB2312" w:eastAsia="仿宋_GB2312"/>
          <w:sz w:val="24"/>
          <w:szCs w:val="24"/>
          <w:u w:val="dotted"/>
        </w:rPr>
      </w:pPr>
      <w:r>
        <w:rPr>
          <w:rFonts w:hint="eastAsia" w:ascii="仿宋_GB2312" w:eastAsia="仿宋_GB2312"/>
          <w:sz w:val="24"/>
          <w:szCs w:val="24"/>
        </w:rPr>
        <w:t>……</w:t>
      </w:r>
    </w:p>
    <w:p>
      <w:pPr>
        <w:rPr>
          <w:rFonts w:ascii="仿宋_GB2312" w:eastAsia="仿宋_GB2312"/>
          <w:sz w:val="24"/>
          <w:szCs w:val="24"/>
          <w:u w:val="single"/>
        </w:rPr>
      </w:pPr>
      <w:r>
        <w:rPr>
          <w:rFonts w:hint="eastAsia" w:ascii="仿宋_GB2312" w:eastAsia="仿宋_GB2312"/>
          <w:sz w:val="24"/>
          <w:szCs w:val="24"/>
        </w:rPr>
        <w:t>相关供应商：</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联系人：</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黑体" w:hAnsi="黑体" w:eastAsia="黑体"/>
          <w:sz w:val="24"/>
          <w:szCs w:val="24"/>
        </w:rPr>
      </w:pPr>
      <w:r>
        <w:rPr>
          <w:rFonts w:hint="eastAsia" w:ascii="黑体" w:hAnsi="黑体" w:eastAsia="黑体"/>
          <w:sz w:val="24"/>
          <w:szCs w:val="24"/>
        </w:rPr>
        <w:t>二、投诉项目基本情况</w:t>
      </w:r>
    </w:p>
    <w:p>
      <w:pPr>
        <w:rPr>
          <w:rFonts w:ascii="仿宋_GB2312" w:eastAsia="仿宋_GB2312"/>
          <w:sz w:val="24"/>
          <w:szCs w:val="24"/>
          <w:u w:val="dotted"/>
        </w:rPr>
      </w:pPr>
      <w:r>
        <w:rPr>
          <w:rFonts w:hint="eastAsia" w:ascii="仿宋_GB2312" w:eastAsia="仿宋_GB2312"/>
          <w:sz w:val="24"/>
          <w:szCs w:val="24"/>
        </w:rPr>
        <w:t>采购项目名称：</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采购项目编号：</w:t>
      </w:r>
      <w:r>
        <w:rPr>
          <w:rFonts w:hint="eastAsia" w:ascii="仿宋_GB2312" w:eastAsia="仿宋_GB2312"/>
          <w:sz w:val="24"/>
          <w:szCs w:val="24"/>
          <w:u w:val="dotted"/>
        </w:rPr>
        <w:t xml:space="preserve">                 </w:t>
      </w:r>
      <w:r>
        <w:rPr>
          <w:rFonts w:hint="eastAsia" w:ascii="仿宋_GB2312" w:eastAsia="仿宋_GB2312"/>
          <w:sz w:val="24"/>
          <w:szCs w:val="24"/>
        </w:rPr>
        <w:t>包号：</w:t>
      </w:r>
      <w:r>
        <w:rPr>
          <w:rFonts w:hint="eastAsia" w:ascii="仿宋_GB2312" w:eastAsia="仿宋_GB2312"/>
          <w:sz w:val="24"/>
          <w:szCs w:val="24"/>
          <w:u w:val="dotted"/>
        </w:rPr>
        <w:t xml:space="preserve">              </w:t>
      </w:r>
    </w:p>
    <w:p>
      <w:pPr>
        <w:rPr>
          <w:rFonts w:ascii="仿宋_GB2312" w:eastAsia="仿宋_GB2312"/>
          <w:sz w:val="24"/>
          <w:szCs w:val="24"/>
        </w:rPr>
      </w:pPr>
      <w:r>
        <w:rPr>
          <w:rFonts w:hint="eastAsia" w:ascii="仿宋_GB2312" w:eastAsia="仿宋_GB2312"/>
          <w:sz w:val="24"/>
          <w:szCs w:val="24"/>
        </w:rPr>
        <w:t>采购人名称：</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代理机构名称：</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rPr>
        <w:t>采购文件公告:</w:t>
      </w:r>
      <w:r>
        <w:rPr>
          <w:rFonts w:hint="eastAsia" w:ascii="仿宋_GB2312" w:eastAsia="仿宋_GB2312"/>
          <w:sz w:val="24"/>
          <w:szCs w:val="24"/>
          <w:u w:val="dotted"/>
        </w:rPr>
        <w:t xml:space="preserve">是/否 </w:t>
      </w:r>
      <w:r>
        <w:rPr>
          <w:rFonts w:hint="eastAsia" w:ascii="仿宋_GB2312" w:eastAsia="仿宋_GB2312"/>
          <w:sz w:val="24"/>
          <w:szCs w:val="24"/>
        </w:rPr>
        <w:t>公告期限：</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采购结果公告:</w:t>
      </w:r>
      <w:r>
        <w:rPr>
          <w:rFonts w:hint="eastAsia" w:ascii="仿宋_GB2312" w:eastAsia="仿宋_GB2312"/>
          <w:sz w:val="24"/>
          <w:szCs w:val="24"/>
          <w:u w:val="dotted"/>
        </w:rPr>
        <w:t xml:space="preserve">是/否 </w:t>
      </w:r>
      <w:r>
        <w:rPr>
          <w:rFonts w:hint="eastAsia" w:ascii="仿宋_GB2312" w:eastAsia="仿宋_GB2312"/>
          <w:sz w:val="24"/>
          <w:szCs w:val="24"/>
        </w:rPr>
        <w:t>公告期限：</w:t>
      </w:r>
      <w:r>
        <w:rPr>
          <w:rFonts w:hint="eastAsia" w:ascii="仿宋_GB2312" w:eastAsia="仿宋_GB2312"/>
          <w:sz w:val="24"/>
          <w:szCs w:val="24"/>
          <w:u w:val="dotted"/>
        </w:rPr>
        <w:t xml:space="preserve">                        </w:t>
      </w:r>
    </w:p>
    <w:p>
      <w:pPr>
        <w:rPr>
          <w:rFonts w:ascii="黑体" w:hAnsi="黑体" w:eastAsia="黑体"/>
          <w:sz w:val="24"/>
          <w:szCs w:val="24"/>
        </w:rPr>
      </w:pPr>
      <w:r>
        <w:rPr>
          <w:rFonts w:hint="eastAsia" w:ascii="黑体" w:hAnsi="黑体" w:eastAsia="黑体"/>
          <w:sz w:val="24"/>
          <w:szCs w:val="24"/>
        </w:rPr>
        <w:t>三、质疑基本情况</w:t>
      </w:r>
    </w:p>
    <w:p>
      <w:pPr>
        <w:ind w:firstLine="480" w:firstLineChars="200"/>
        <w:rPr>
          <w:rFonts w:ascii="仿宋_GB2312" w:eastAsia="仿宋_GB2312"/>
          <w:sz w:val="24"/>
          <w:szCs w:val="24"/>
          <w:u w:val="dotted"/>
        </w:rPr>
      </w:pPr>
      <w:r>
        <w:rPr>
          <w:rFonts w:hint="eastAsia" w:ascii="仿宋_GB2312" w:eastAsia="仿宋_GB2312"/>
          <w:sz w:val="24"/>
          <w:szCs w:val="24"/>
        </w:rPr>
        <w:t>投诉人于</w:t>
      </w:r>
      <w:r>
        <w:rPr>
          <w:rFonts w:hint="eastAsia" w:ascii="仿宋_GB2312" w:eastAsia="仿宋_GB2312"/>
          <w:sz w:val="24"/>
          <w:szCs w:val="24"/>
          <w:u w:val="dotted"/>
        </w:rPr>
        <w:t xml:space="preserve">   </w:t>
      </w:r>
      <w:r>
        <w:rPr>
          <w:rFonts w:hint="eastAsia" w:ascii="仿宋_GB2312" w:eastAsia="仿宋_GB2312"/>
          <w:sz w:val="24"/>
          <w:szCs w:val="24"/>
        </w:rPr>
        <w:t>年</w:t>
      </w:r>
      <w:r>
        <w:rPr>
          <w:rFonts w:hint="eastAsia" w:ascii="仿宋_GB2312" w:eastAsia="仿宋_GB2312"/>
          <w:sz w:val="24"/>
          <w:szCs w:val="24"/>
          <w:u w:val="dotted"/>
        </w:rPr>
        <w:t xml:space="preserve">   </w:t>
      </w:r>
      <w:r>
        <w:rPr>
          <w:rFonts w:hint="eastAsia" w:ascii="仿宋_GB2312" w:eastAsia="仿宋_GB2312"/>
          <w:sz w:val="24"/>
          <w:szCs w:val="24"/>
        </w:rPr>
        <w:t>月</w:t>
      </w:r>
      <w:r>
        <w:rPr>
          <w:rFonts w:hint="eastAsia" w:ascii="仿宋_GB2312" w:eastAsia="仿宋_GB2312"/>
          <w:sz w:val="24"/>
          <w:szCs w:val="24"/>
          <w:u w:val="dotted"/>
        </w:rPr>
        <w:t xml:space="preserve">  </w:t>
      </w:r>
      <w:r>
        <w:rPr>
          <w:rFonts w:hint="eastAsia" w:ascii="仿宋_GB2312" w:eastAsia="仿宋_GB2312"/>
          <w:sz w:val="24"/>
          <w:szCs w:val="24"/>
        </w:rPr>
        <w:t>日,向</w:t>
      </w:r>
      <w:r>
        <w:rPr>
          <w:rFonts w:hint="eastAsia" w:ascii="仿宋_GB2312" w:eastAsia="仿宋_GB2312"/>
          <w:sz w:val="24"/>
          <w:szCs w:val="24"/>
          <w:u w:val="dotted"/>
        </w:rPr>
        <w:t xml:space="preserve">                   </w:t>
      </w:r>
      <w:r>
        <w:rPr>
          <w:rFonts w:hint="eastAsia" w:ascii="仿宋_GB2312" w:eastAsia="仿宋_GB2312"/>
          <w:sz w:val="24"/>
          <w:szCs w:val="24"/>
        </w:rPr>
        <w:t>提出质疑，质疑事项为：</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u w:val="dotted"/>
        </w:rPr>
        <w:t xml:space="preserve">                                                     </w:t>
      </w:r>
      <w:r>
        <w:rPr>
          <w:rFonts w:hint="eastAsia" w:ascii="仿宋_GB2312" w:eastAsia="仿宋_GB2312"/>
          <w:sz w:val="24"/>
          <w:szCs w:val="24"/>
        </w:rPr>
        <w:t xml:space="preserve">  </w:t>
      </w:r>
    </w:p>
    <w:p>
      <w:pPr>
        <w:ind w:firstLine="360" w:firstLineChars="150"/>
        <w:rPr>
          <w:rFonts w:ascii="仿宋_GB2312" w:eastAsia="仿宋_GB2312"/>
          <w:sz w:val="24"/>
          <w:szCs w:val="24"/>
        </w:rPr>
      </w:pPr>
      <w:r>
        <w:rPr>
          <w:rFonts w:hint="eastAsia" w:ascii="仿宋_GB2312" w:eastAsia="仿宋_GB2312"/>
          <w:sz w:val="24"/>
          <w:szCs w:val="24"/>
          <w:u w:val="dotted"/>
        </w:rPr>
        <w:t>采购人/代理机构</w:t>
      </w:r>
      <w:r>
        <w:rPr>
          <w:rFonts w:hint="eastAsia" w:ascii="仿宋_GB2312" w:eastAsia="仿宋_GB2312"/>
          <w:sz w:val="24"/>
          <w:szCs w:val="24"/>
        </w:rPr>
        <w:t>于</w:t>
      </w:r>
      <w:r>
        <w:rPr>
          <w:rFonts w:hint="eastAsia" w:ascii="仿宋_GB2312" w:eastAsia="仿宋_GB2312"/>
          <w:sz w:val="24"/>
          <w:szCs w:val="24"/>
          <w:u w:val="dotted"/>
        </w:rPr>
        <w:t xml:space="preserve">   </w:t>
      </w:r>
      <w:r>
        <w:rPr>
          <w:rFonts w:hint="eastAsia" w:ascii="仿宋_GB2312" w:eastAsia="仿宋_GB2312"/>
          <w:sz w:val="24"/>
          <w:szCs w:val="24"/>
        </w:rPr>
        <w:t>年</w:t>
      </w:r>
      <w:r>
        <w:rPr>
          <w:rFonts w:hint="eastAsia" w:ascii="仿宋_GB2312" w:eastAsia="仿宋_GB2312"/>
          <w:sz w:val="24"/>
          <w:szCs w:val="24"/>
          <w:u w:val="dotted"/>
        </w:rPr>
        <w:t xml:space="preserve">   </w:t>
      </w:r>
      <w:r>
        <w:rPr>
          <w:rFonts w:hint="eastAsia" w:ascii="仿宋_GB2312" w:eastAsia="仿宋_GB2312"/>
          <w:sz w:val="24"/>
          <w:szCs w:val="24"/>
        </w:rPr>
        <w:t>月</w:t>
      </w:r>
      <w:r>
        <w:rPr>
          <w:rFonts w:hint="eastAsia" w:ascii="仿宋_GB2312" w:eastAsia="仿宋_GB2312"/>
          <w:sz w:val="24"/>
          <w:szCs w:val="24"/>
          <w:u w:val="dotted"/>
        </w:rPr>
        <w:t xml:space="preserve">   </w:t>
      </w:r>
      <w:r>
        <w:rPr>
          <w:rFonts w:hint="eastAsia" w:ascii="仿宋_GB2312" w:eastAsia="仿宋_GB2312"/>
          <w:sz w:val="24"/>
          <w:szCs w:val="24"/>
        </w:rPr>
        <w:t>日,就质疑事项作出了答复/没有在法定期限内作出答复。</w:t>
      </w:r>
    </w:p>
    <w:p>
      <w:pPr>
        <w:rPr>
          <w:rFonts w:ascii="黑体" w:hAnsi="黑体" w:eastAsia="黑体"/>
          <w:sz w:val="24"/>
          <w:szCs w:val="24"/>
        </w:rPr>
      </w:pPr>
      <w:r>
        <w:rPr>
          <w:rFonts w:hint="eastAsia" w:ascii="黑体" w:hAnsi="黑体" w:eastAsia="黑体"/>
          <w:sz w:val="24"/>
          <w:szCs w:val="24"/>
        </w:rPr>
        <w:t>四、投诉事项具体内容</w:t>
      </w:r>
    </w:p>
    <w:p>
      <w:pPr>
        <w:rPr>
          <w:rFonts w:ascii="仿宋_GB2312" w:eastAsia="仿宋_GB2312"/>
          <w:sz w:val="24"/>
          <w:szCs w:val="24"/>
          <w:u w:val="single"/>
        </w:rPr>
      </w:pPr>
      <w:r>
        <w:rPr>
          <w:rFonts w:hint="eastAsia" w:ascii="仿宋_GB2312" w:eastAsia="仿宋_GB2312"/>
          <w:sz w:val="24"/>
          <w:szCs w:val="24"/>
        </w:rPr>
        <w:t>投诉事项 1：</w:t>
      </w:r>
      <w:r>
        <w:rPr>
          <w:rFonts w:hint="eastAsia" w:ascii="仿宋_GB2312" w:eastAsia="仿宋_GB2312"/>
          <w:sz w:val="24"/>
          <w:szCs w:val="24"/>
          <w:u w:val="dotted"/>
        </w:rPr>
        <w:t xml:space="preserve">                                       </w:t>
      </w:r>
    </w:p>
    <w:p>
      <w:pPr>
        <w:rPr>
          <w:rFonts w:ascii="仿宋_GB2312" w:eastAsia="仿宋_GB2312"/>
          <w:sz w:val="24"/>
          <w:szCs w:val="24"/>
        </w:rPr>
      </w:pPr>
      <w:r>
        <w:rPr>
          <w:rFonts w:hint="eastAsia" w:ascii="仿宋_GB2312" w:eastAsia="仿宋_GB2312"/>
          <w:sz w:val="24"/>
          <w:szCs w:val="24"/>
        </w:rPr>
        <w:t>事实依据：</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法律依据：</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u w:val="dotted"/>
        </w:rPr>
        <w:t xml:space="preserve">                                                      </w:t>
      </w:r>
    </w:p>
    <w:p>
      <w:pPr>
        <w:rPr>
          <w:rFonts w:ascii="仿宋_GB2312" w:eastAsia="仿宋_GB2312"/>
          <w:sz w:val="24"/>
          <w:szCs w:val="24"/>
        </w:rPr>
      </w:pPr>
      <w:r>
        <w:rPr>
          <w:rFonts w:hint="eastAsia" w:ascii="仿宋_GB2312" w:eastAsia="仿宋_GB2312"/>
          <w:sz w:val="24"/>
          <w:szCs w:val="24"/>
        </w:rPr>
        <w:t>投诉事项2</w:t>
      </w:r>
    </w:p>
    <w:p>
      <w:pPr>
        <w:rPr>
          <w:rFonts w:ascii="仿宋_GB2312" w:eastAsia="仿宋_GB2312"/>
          <w:sz w:val="24"/>
          <w:szCs w:val="24"/>
          <w:u w:val="dotted"/>
        </w:rPr>
      </w:pPr>
      <w:r>
        <w:rPr>
          <w:rFonts w:hint="eastAsia" w:ascii="仿宋_GB2312" w:eastAsia="仿宋_GB2312"/>
          <w:sz w:val="24"/>
          <w:szCs w:val="24"/>
        </w:rPr>
        <w:t>……</w:t>
      </w:r>
    </w:p>
    <w:p>
      <w:pPr>
        <w:rPr>
          <w:rFonts w:ascii="黑体" w:hAnsi="黑体" w:eastAsia="黑体"/>
          <w:sz w:val="24"/>
          <w:szCs w:val="24"/>
        </w:rPr>
      </w:pPr>
      <w:r>
        <w:rPr>
          <w:rFonts w:hint="eastAsia" w:ascii="黑体" w:hAnsi="黑体" w:eastAsia="黑体"/>
          <w:sz w:val="24"/>
          <w:szCs w:val="24"/>
        </w:rPr>
        <w:t>五、与投诉事项相关的投诉请求</w:t>
      </w:r>
    </w:p>
    <w:p>
      <w:pPr>
        <w:rPr>
          <w:rFonts w:ascii="仿宋_GB2312" w:eastAsia="仿宋_GB2312"/>
          <w:sz w:val="24"/>
          <w:szCs w:val="24"/>
        </w:rPr>
      </w:pPr>
      <w:r>
        <w:rPr>
          <w:rFonts w:hint="eastAsia" w:ascii="仿宋_GB2312" w:eastAsia="仿宋_GB2312"/>
          <w:sz w:val="24"/>
          <w:szCs w:val="24"/>
        </w:rPr>
        <w:t>请求：</w:t>
      </w:r>
      <w:r>
        <w:rPr>
          <w:rFonts w:hint="eastAsia" w:ascii="仿宋_GB2312" w:eastAsia="仿宋_GB2312"/>
          <w:sz w:val="24"/>
          <w:szCs w:val="24"/>
          <w:u w:val="dotted"/>
        </w:rPr>
        <w:t xml:space="preserve">                                              </w:t>
      </w:r>
      <w:r>
        <w:rPr>
          <w:rFonts w:hint="eastAsia" w:ascii="仿宋_GB2312" w:eastAsia="仿宋_GB2312"/>
          <w:sz w:val="24"/>
          <w:szCs w:val="24"/>
        </w:rPr>
        <w:t xml:space="preserve"> </w:t>
      </w:r>
    </w:p>
    <w:p>
      <w:pPr>
        <w:rPr>
          <w:rFonts w:ascii="仿宋_GB2312" w:eastAsia="仿宋_GB2312"/>
          <w:sz w:val="24"/>
          <w:szCs w:val="24"/>
          <w:u w:val="single"/>
        </w:rPr>
      </w:pPr>
      <w:r>
        <w:rPr>
          <w:rFonts w:hint="eastAsia" w:ascii="仿宋_GB2312" w:eastAsia="仿宋_GB2312"/>
          <w:sz w:val="24"/>
          <w:szCs w:val="24"/>
        </w:rPr>
        <w:t xml:space="preserve">                                                                                                    </w:t>
      </w:r>
    </w:p>
    <w:p>
      <w:pPr>
        <w:rPr>
          <w:rFonts w:ascii="仿宋_GB2312" w:eastAsia="仿宋_GB2312"/>
          <w:sz w:val="24"/>
          <w:szCs w:val="24"/>
        </w:rPr>
      </w:pPr>
      <w:r>
        <w:rPr>
          <w:rFonts w:hint="eastAsia" w:ascii="仿宋_GB2312" w:eastAsia="仿宋_GB2312"/>
          <w:sz w:val="24"/>
          <w:szCs w:val="24"/>
        </w:rPr>
        <w:t xml:space="preserve">签字(签章)：                   公章：                      </w:t>
      </w:r>
    </w:p>
    <w:p>
      <w:pPr>
        <w:rPr>
          <w:rFonts w:ascii="仿宋_GB2312" w:eastAsia="仿宋_GB2312"/>
          <w:sz w:val="24"/>
          <w:szCs w:val="24"/>
        </w:rPr>
      </w:pPr>
      <w:r>
        <w:rPr>
          <w:rFonts w:hint="eastAsia" w:ascii="仿宋_GB2312" w:eastAsia="仿宋_GB2312"/>
          <w:sz w:val="24"/>
          <w:szCs w:val="24"/>
        </w:rPr>
        <w:t xml:space="preserve">日期：    </w:t>
      </w:r>
    </w:p>
    <w:p>
      <w:pPr>
        <w:rPr>
          <w:rFonts w:ascii="黑体" w:hAnsi="黑体" w:eastAsia="黑体"/>
          <w:b/>
          <w:sz w:val="24"/>
          <w:szCs w:val="24"/>
        </w:rPr>
      </w:pP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p>
    <w:p>
      <w:pPr>
        <w:rPr>
          <w:rFonts w:ascii="黑体" w:hAnsi="黑体" w:eastAsia="黑体"/>
          <w:b/>
          <w:sz w:val="32"/>
          <w:szCs w:val="32"/>
        </w:rPr>
      </w:pPr>
      <w:r>
        <w:rPr>
          <w:rFonts w:hint="eastAsia" w:ascii="黑体" w:hAnsi="黑体" w:eastAsia="黑体"/>
          <w:b/>
          <w:sz w:val="32"/>
          <w:szCs w:val="32"/>
        </w:rPr>
        <w:t>投诉书制作说明：</w:t>
      </w:r>
    </w:p>
    <w:p>
      <w:pPr>
        <w:widowControl/>
        <w:ind w:firstLine="480" w:firstLineChars="200"/>
        <w:rPr>
          <w:rFonts w:ascii="仿宋_GB2312" w:hAnsi="宋体" w:eastAsia="仿宋_GB2312" w:cs="宋体"/>
          <w:kern w:val="0"/>
          <w:sz w:val="24"/>
          <w:szCs w:val="24"/>
        </w:rPr>
      </w:pPr>
      <w:r>
        <w:rPr>
          <w:rFonts w:hint="eastAsia" w:ascii="仿宋_GB2312" w:eastAsia="仿宋_GB2312"/>
          <w:sz w:val="24"/>
          <w:szCs w:val="24"/>
        </w:rPr>
        <w:t>1.投诉人提起投诉时，应当提交投诉书和必要的证明材料，并按照被投诉人和与投诉事项有关的供应商数量提供投诉书副本。</w:t>
      </w:r>
    </w:p>
    <w:p>
      <w:pPr>
        <w:widowControl/>
        <w:ind w:firstLine="480" w:firstLineChars="200"/>
        <w:jc w:val="left"/>
        <w:rPr>
          <w:rFonts w:ascii="仿宋_GB2312" w:hAnsi="宋体" w:eastAsia="仿宋_GB2312" w:cs="宋体"/>
          <w:kern w:val="0"/>
          <w:sz w:val="24"/>
          <w:szCs w:val="24"/>
        </w:rPr>
      </w:pPr>
      <w:r>
        <w:rPr>
          <w:rFonts w:hint="eastAsia" w:ascii="仿宋_GB2312" w:eastAsia="仿宋_GB2312"/>
          <w:sz w:val="24"/>
          <w:szCs w:val="24"/>
        </w:rPr>
        <w:t>2.投诉人若委托代理人进行投诉的，投诉书应按照要求列明“授权代表”的有关内容，并在附件中提交由</w:t>
      </w:r>
      <w:r>
        <w:rPr>
          <w:rFonts w:hint="eastAsia" w:ascii="仿宋_GB2312" w:hAnsi="宋体" w:eastAsia="仿宋_GB2312" w:cs="宋体"/>
          <w:kern w:val="0"/>
          <w:sz w:val="24"/>
          <w:szCs w:val="24"/>
        </w:rPr>
        <w:t>投诉人签署的授权委托书。授权委托书应当载明代理人的姓名或者名称、代理事项、具体权限、期限和相关事项。</w:t>
      </w:r>
    </w:p>
    <w:p>
      <w:pPr>
        <w:widowControl/>
        <w:ind w:firstLine="480" w:firstLineChars="200"/>
        <w:jc w:val="left"/>
        <w:rPr>
          <w:rFonts w:ascii="仿宋_GB2312" w:eastAsia="仿宋_GB2312"/>
          <w:sz w:val="24"/>
          <w:szCs w:val="24"/>
        </w:rPr>
      </w:pPr>
      <w:r>
        <w:rPr>
          <w:rFonts w:hint="eastAsia" w:ascii="仿宋_GB2312" w:eastAsia="仿宋_GB2312"/>
          <w:sz w:val="24"/>
          <w:szCs w:val="24"/>
        </w:rPr>
        <w:t>3.投诉人若对项目的某一分包进行投诉，投诉书应列明具体分包号。</w:t>
      </w:r>
    </w:p>
    <w:p>
      <w:pPr>
        <w:widowControl/>
        <w:ind w:firstLine="480" w:firstLineChars="200"/>
        <w:jc w:val="left"/>
        <w:rPr>
          <w:rFonts w:ascii="仿宋_GB2312" w:eastAsia="仿宋_GB2312"/>
          <w:sz w:val="24"/>
          <w:szCs w:val="24"/>
        </w:rPr>
      </w:pPr>
      <w:r>
        <w:rPr>
          <w:rFonts w:hint="eastAsia" w:ascii="仿宋_GB2312" w:eastAsia="仿宋_GB2312"/>
          <w:sz w:val="24"/>
          <w:szCs w:val="24"/>
        </w:rPr>
        <w:t>4.投诉书应简要列明质疑事项，质疑函、质疑答复等作为附件材料提供。</w:t>
      </w:r>
    </w:p>
    <w:p>
      <w:pPr>
        <w:widowControl/>
        <w:ind w:firstLine="480" w:firstLineChars="200"/>
        <w:jc w:val="left"/>
        <w:rPr>
          <w:rFonts w:ascii="仿宋_GB2312" w:eastAsia="仿宋_GB2312"/>
          <w:sz w:val="24"/>
          <w:szCs w:val="24"/>
        </w:rPr>
      </w:pPr>
      <w:r>
        <w:rPr>
          <w:rFonts w:hint="eastAsia" w:ascii="仿宋_GB2312" w:eastAsia="仿宋_GB2312"/>
          <w:sz w:val="24"/>
          <w:szCs w:val="24"/>
        </w:rPr>
        <w:t>5.投诉书的投诉事项应具体、明确，并有必要的事实依据和法律依据。</w:t>
      </w:r>
    </w:p>
    <w:p>
      <w:pPr>
        <w:widowControl/>
        <w:ind w:firstLine="480" w:firstLineChars="200"/>
        <w:jc w:val="left"/>
        <w:rPr>
          <w:rFonts w:ascii="仿宋_GB2312" w:eastAsia="仿宋_GB2312"/>
          <w:sz w:val="24"/>
          <w:szCs w:val="24"/>
        </w:rPr>
      </w:pPr>
      <w:r>
        <w:rPr>
          <w:rFonts w:hint="eastAsia" w:ascii="仿宋_GB2312" w:eastAsia="仿宋_GB2312"/>
          <w:sz w:val="24"/>
          <w:szCs w:val="24"/>
        </w:rPr>
        <w:t>6.投诉书的投诉请求应与投诉事项相关。</w:t>
      </w:r>
    </w:p>
    <w:p>
      <w:pPr>
        <w:adjustRightInd w:val="0"/>
        <w:snapToGrid w:val="0"/>
        <w:spacing w:line="360" w:lineRule="auto"/>
        <w:jc w:val="left"/>
        <w:rPr>
          <w:rFonts w:ascii="宋体" w:hAnsi="宋体" w:cs="宋体"/>
          <w:b/>
          <w:bCs/>
          <w:kern w:val="36"/>
          <w:sz w:val="24"/>
          <w:szCs w:val="24"/>
        </w:rPr>
      </w:pPr>
      <w:r>
        <w:rPr>
          <w:rFonts w:hint="eastAsia" w:ascii="仿宋_GB2312" w:eastAsia="仿宋_GB2312"/>
          <w:sz w:val="24"/>
          <w:szCs w:val="24"/>
        </w:rPr>
        <w:t>7.投诉人为自然人的，投诉书应当由本人签字；投诉人为法人或者其他组织的，投诉书应当由法定代表人、主要负责人，或者其授权代表签字或者盖章，并加盖公章。</w:t>
      </w:r>
    </w:p>
    <w:p>
      <w:pPr>
        <w:adjustRightInd w:val="0"/>
        <w:snapToGrid w:val="0"/>
        <w:spacing w:line="360" w:lineRule="auto"/>
        <w:jc w:val="left"/>
        <w:rPr>
          <w:rFonts w:ascii="宋体" w:hAnsi="宋体" w:cs="宋体"/>
          <w:b/>
          <w:bCs/>
          <w:kern w:val="36"/>
          <w:sz w:val="24"/>
          <w:szCs w:val="24"/>
        </w:rPr>
      </w:pPr>
    </w:p>
    <w:p>
      <w:pPr>
        <w:adjustRightInd w:val="0"/>
        <w:snapToGrid w:val="0"/>
        <w:spacing w:line="500" w:lineRule="atLeast"/>
        <w:ind w:right="520" w:firstLine="480" w:firstLineChars="200"/>
        <w:jc w:val="left"/>
        <w:rPr>
          <w:rFonts w:cs="宋体"/>
          <w:sz w:val="24"/>
          <w:szCs w:val="24"/>
          <w:shd w:val="clear" w:color="auto" w:fill="FFFFFF"/>
        </w:rPr>
      </w:pPr>
    </w:p>
    <w:p>
      <w:pPr>
        <w:rPr>
          <w:rFonts w:ascii="仿宋_GB2312" w:eastAsia="仿宋_GB2312"/>
          <w:sz w:val="24"/>
          <w:szCs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1</w:t>
    </w:r>
    <w:r>
      <w:rPr>
        <w:lang w:val="zh-CN"/>
      </w:rP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81826"/>
    <w:multiLevelType w:val="singleLevel"/>
    <w:tmpl w:val="FE981826"/>
    <w:lvl w:ilvl="0" w:tentative="0">
      <w:start w:val="4"/>
      <w:numFmt w:val="chineseCounting"/>
      <w:suff w:val="space"/>
      <w:lvlText w:val="第%1章"/>
      <w:lvlJc w:val="left"/>
      <w:rPr>
        <w:rFonts w:hint="eastAsia"/>
      </w:rPr>
    </w:lvl>
  </w:abstractNum>
  <w:abstractNum w:abstractNumId="1">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4"/>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35"/>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40"/>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2">
    <w:nsid w:val="3EE76F25"/>
    <w:multiLevelType w:val="multilevel"/>
    <w:tmpl w:val="3EE76F25"/>
    <w:lvl w:ilvl="0" w:tentative="0">
      <w:start w:val="1"/>
      <w:numFmt w:val="japaneseCounting"/>
      <w:lvlText w:val="%1、"/>
      <w:lvlJc w:val="left"/>
      <w:pPr>
        <w:ind w:left="720" w:hanging="720"/>
      </w:pPr>
      <w:rPr>
        <w:rFonts w:ascii="Calibri" w:hAnsi="Calibri" w:eastAsia="宋体" w:cs="Times New Roman"/>
        <w:b/>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M2NiOWI2ZDgxMTllNGI4ZWIwMTQ5NTRiMjMzYWYifQ=="/>
  </w:docVars>
  <w:rsids>
    <w:rsidRoot w:val="00BC5577"/>
    <w:rsid w:val="000014F5"/>
    <w:rsid w:val="00003BBB"/>
    <w:rsid w:val="00004A55"/>
    <w:rsid w:val="00006724"/>
    <w:rsid w:val="00015D90"/>
    <w:rsid w:val="00016B02"/>
    <w:rsid w:val="00017FCB"/>
    <w:rsid w:val="00022591"/>
    <w:rsid w:val="0002344D"/>
    <w:rsid w:val="00023EED"/>
    <w:rsid w:val="000259F2"/>
    <w:rsid w:val="00030FC8"/>
    <w:rsid w:val="00032E95"/>
    <w:rsid w:val="00032FC9"/>
    <w:rsid w:val="00042A48"/>
    <w:rsid w:val="00046790"/>
    <w:rsid w:val="00046EB7"/>
    <w:rsid w:val="0004704A"/>
    <w:rsid w:val="00047281"/>
    <w:rsid w:val="00052BE5"/>
    <w:rsid w:val="000542AB"/>
    <w:rsid w:val="00055060"/>
    <w:rsid w:val="00055D1C"/>
    <w:rsid w:val="00060CF9"/>
    <w:rsid w:val="0006100A"/>
    <w:rsid w:val="00061743"/>
    <w:rsid w:val="000626B6"/>
    <w:rsid w:val="0006430E"/>
    <w:rsid w:val="00070391"/>
    <w:rsid w:val="00072A64"/>
    <w:rsid w:val="00077034"/>
    <w:rsid w:val="0008070A"/>
    <w:rsid w:val="00090EBA"/>
    <w:rsid w:val="000A1BBD"/>
    <w:rsid w:val="000A590D"/>
    <w:rsid w:val="000A5CF1"/>
    <w:rsid w:val="000C0658"/>
    <w:rsid w:val="000C3A9A"/>
    <w:rsid w:val="000C6236"/>
    <w:rsid w:val="000C6DC8"/>
    <w:rsid w:val="000D190D"/>
    <w:rsid w:val="000D6D14"/>
    <w:rsid w:val="000D6F52"/>
    <w:rsid w:val="000D7D36"/>
    <w:rsid w:val="000E1FF9"/>
    <w:rsid w:val="000E610B"/>
    <w:rsid w:val="000E6A02"/>
    <w:rsid w:val="000E6D4A"/>
    <w:rsid w:val="000E6DEB"/>
    <w:rsid w:val="000E7148"/>
    <w:rsid w:val="000E7510"/>
    <w:rsid w:val="000F04C7"/>
    <w:rsid w:val="000F4CE9"/>
    <w:rsid w:val="000F62AB"/>
    <w:rsid w:val="001021A1"/>
    <w:rsid w:val="001042C6"/>
    <w:rsid w:val="00104FE4"/>
    <w:rsid w:val="00111607"/>
    <w:rsid w:val="0011443D"/>
    <w:rsid w:val="00115B8E"/>
    <w:rsid w:val="0011765C"/>
    <w:rsid w:val="00121562"/>
    <w:rsid w:val="001231D0"/>
    <w:rsid w:val="00126E72"/>
    <w:rsid w:val="00126FED"/>
    <w:rsid w:val="00135FAA"/>
    <w:rsid w:val="001365B0"/>
    <w:rsid w:val="0014005F"/>
    <w:rsid w:val="00140136"/>
    <w:rsid w:val="00140CE4"/>
    <w:rsid w:val="0014204C"/>
    <w:rsid w:val="00142C11"/>
    <w:rsid w:val="00143D07"/>
    <w:rsid w:val="001446A0"/>
    <w:rsid w:val="0014716B"/>
    <w:rsid w:val="0015005C"/>
    <w:rsid w:val="00150DCB"/>
    <w:rsid w:val="00151752"/>
    <w:rsid w:val="00151BAA"/>
    <w:rsid w:val="0015318E"/>
    <w:rsid w:val="00163E61"/>
    <w:rsid w:val="00167162"/>
    <w:rsid w:val="001703B9"/>
    <w:rsid w:val="00172201"/>
    <w:rsid w:val="001751ED"/>
    <w:rsid w:val="00175C59"/>
    <w:rsid w:val="001764F4"/>
    <w:rsid w:val="0018074B"/>
    <w:rsid w:val="00180D64"/>
    <w:rsid w:val="00181B67"/>
    <w:rsid w:val="0018291F"/>
    <w:rsid w:val="0018464A"/>
    <w:rsid w:val="00184FC5"/>
    <w:rsid w:val="00192F29"/>
    <w:rsid w:val="001978D8"/>
    <w:rsid w:val="001A62D0"/>
    <w:rsid w:val="001B0855"/>
    <w:rsid w:val="001B08C2"/>
    <w:rsid w:val="001B1AFB"/>
    <w:rsid w:val="001B360C"/>
    <w:rsid w:val="001B37FC"/>
    <w:rsid w:val="001B3A1D"/>
    <w:rsid w:val="001B7B15"/>
    <w:rsid w:val="001C03AB"/>
    <w:rsid w:val="001C04E3"/>
    <w:rsid w:val="001C38D0"/>
    <w:rsid w:val="001C641B"/>
    <w:rsid w:val="001C647B"/>
    <w:rsid w:val="001C7A6B"/>
    <w:rsid w:val="001C7D36"/>
    <w:rsid w:val="001D2633"/>
    <w:rsid w:val="001D58A9"/>
    <w:rsid w:val="001D59B5"/>
    <w:rsid w:val="001D6EB9"/>
    <w:rsid w:val="001E0AFE"/>
    <w:rsid w:val="001E1616"/>
    <w:rsid w:val="001E3594"/>
    <w:rsid w:val="001E7A2C"/>
    <w:rsid w:val="00200AAC"/>
    <w:rsid w:val="00204069"/>
    <w:rsid w:val="00206979"/>
    <w:rsid w:val="00206AFC"/>
    <w:rsid w:val="00211DC4"/>
    <w:rsid w:val="00212CF7"/>
    <w:rsid w:val="00213CAB"/>
    <w:rsid w:val="00213CDD"/>
    <w:rsid w:val="002179BA"/>
    <w:rsid w:val="00223A2F"/>
    <w:rsid w:val="00224431"/>
    <w:rsid w:val="00224A8E"/>
    <w:rsid w:val="002251A1"/>
    <w:rsid w:val="00226064"/>
    <w:rsid w:val="0023393F"/>
    <w:rsid w:val="00235F9A"/>
    <w:rsid w:val="00235FFF"/>
    <w:rsid w:val="00240CAC"/>
    <w:rsid w:val="00241599"/>
    <w:rsid w:val="00241677"/>
    <w:rsid w:val="002452CB"/>
    <w:rsid w:val="00253084"/>
    <w:rsid w:val="002558D5"/>
    <w:rsid w:val="00257024"/>
    <w:rsid w:val="00261227"/>
    <w:rsid w:val="00263614"/>
    <w:rsid w:val="002679E3"/>
    <w:rsid w:val="00270053"/>
    <w:rsid w:val="00270964"/>
    <w:rsid w:val="002715B7"/>
    <w:rsid w:val="00272628"/>
    <w:rsid w:val="00273493"/>
    <w:rsid w:val="002736A2"/>
    <w:rsid w:val="002852CE"/>
    <w:rsid w:val="002872C1"/>
    <w:rsid w:val="0029067B"/>
    <w:rsid w:val="0029196D"/>
    <w:rsid w:val="00292163"/>
    <w:rsid w:val="00292AA6"/>
    <w:rsid w:val="00294697"/>
    <w:rsid w:val="00295D71"/>
    <w:rsid w:val="002976DF"/>
    <w:rsid w:val="002A6555"/>
    <w:rsid w:val="002A694A"/>
    <w:rsid w:val="002A6B9D"/>
    <w:rsid w:val="002B1C4F"/>
    <w:rsid w:val="002B4D61"/>
    <w:rsid w:val="002C0445"/>
    <w:rsid w:val="002C1E00"/>
    <w:rsid w:val="002C28E5"/>
    <w:rsid w:val="002C5D27"/>
    <w:rsid w:val="002D0555"/>
    <w:rsid w:val="002D6BE2"/>
    <w:rsid w:val="002D6C39"/>
    <w:rsid w:val="002D7725"/>
    <w:rsid w:val="002D7C26"/>
    <w:rsid w:val="002D7FBD"/>
    <w:rsid w:val="002E2F71"/>
    <w:rsid w:val="002E48EC"/>
    <w:rsid w:val="002E520A"/>
    <w:rsid w:val="002F0EE2"/>
    <w:rsid w:val="002F3A32"/>
    <w:rsid w:val="002F5830"/>
    <w:rsid w:val="002F6A4B"/>
    <w:rsid w:val="002F6DCC"/>
    <w:rsid w:val="0030165E"/>
    <w:rsid w:val="00304B9A"/>
    <w:rsid w:val="0031035E"/>
    <w:rsid w:val="00312989"/>
    <w:rsid w:val="0031766C"/>
    <w:rsid w:val="00321384"/>
    <w:rsid w:val="003223EB"/>
    <w:rsid w:val="00323754"/>
    <w:rsid w:val="003256F3"/>
    <w:rsid w:val="00327F3D"/>
    <w:rsid w:val="003328D1"/>
    <w:rsid w:val="0033360A"/>
    <w:rsid w:val="00336388"/>
    <w:rsid w:val="00340558"/>
    <w:rsid w:val="003414E3"/>
    <w:rsid w:val="00341D3A"/>
    <w:rsid w:val="00344CC8"/>
    <w:rsid w:val="00344EB5"/>
    <w:rsid w:val="00351AED"/>
    <w:rsid w:val="00352003"/>
    <w:rsid w:val="003535BA"/>
    <w:rsid w:val="00353FF9"/>
    <w:rsid w:val="0036161F"/>
    <w:rsid w:val="00361BCF"/>
    <w:rsid w:val="00365CD6"/>
    <w:rsid w:val="00367922"/>
    <w:rsid w:val="003733FA"/>
    <w:rsid w:val="00375E61"/>
    <w:rsid w:val="003767EF"/>
    <w:rsid w:val="00376D1E"/>
    <w:rsid w:val="0038139D"/>
    <w:rsid w:val="003818DA"/>
    <w:rsid w:val="00384CB4"/>
    <w:rsid w:val="003873AB"/>
    <w:rsid w:val="00387CD7"/>
    <w:rsid w:val="00387D5F"/>
    <w:rsid w:val="003965ED"/>
    <w:rsid w:val="003969AF"/>
    <w:rsid w:val="003A3478"/>
    <w:rsid w:val="003A7219"/>
    <w:rsid w:val="003A794F"/>
    <w:rsid w:val="003A7DF3"/>
    <w:rsid w:val="003B0510"/>
    <w:rsid w:val="003B231B"/>
    <w:rsid w:val="003B3878"/>
    <w:rsid w:val="003D00A4"/>
    <w:rsid w:val="003D0DF6"/>
    <w:rsid w:val="003D3EE0"/>
    <w:rsid w:val="003E1105"/>
    <w:rsid w:val="003E147F"/>
    <w:rsid w:val="003E27E5"/>
    <w:rsid w:val="003E5908"/>
    <w:rsid w:val="003F13AF"/>
    <w:rsid w:val="003F623C"/>
    <w:rsid w:val="00402AB9"/>
    <w:rsid w:val="00403799"/>
    <w:rsid w:val="004059C7"/>
    <w:rsid w:val="0040675B"/>
    <w:rsid w:val="00406DFB"/>
    <w:rsid w:val="00414CB9"/>
    <w:rsid w:val="00416DBA"/>
    <w:rsid w:val="00420272"/>
    <w:rsid w:val="004239F5"/>
    <w:rsid w:val="00423F69"/>
    <w:rsid w:val="0042556D"/>
    <w:rsid w:val="00426B83"/>
    <w:rsid w:val="0042749B"/>
    <w:rsid w:val="004302EF"/>
    <w:rsid w:val="0043033C"/>
    <w:rsid w:val="00431AF3"/>
    <w:rsid w:val="00433D70"/>
    <w:rsid w:val="00434069"/>
    <w:rsid w:val="00434860"/>
    <w:rsid w:val="00434CBD"/>
    <w:rsid w:val="00442B95"/>
    <w:rsid w:val="004444D6"/>
    <w:rsid w:val="0044519E"/>
    <w:rsid w:val="00446E0E"/>
    <w:rsid w:val="0045211C"/>
    <w:rsid w:val="00454BA9"/>
    <w:rsid w:val="00454BB3"/>
    <w:rsid w:val="00455DD0"/>
    <w:rsid w:val="00462C4B"/>
    <w:rsid w:val="0046384F"/>
    <w:rsid w:val="00463850"/>
    <w:rsid w:val="004704B0"/>
    <w:rsid w:val="00471368"/>
    <w:rsid w:val="004746C6"/>
    <w:rsid w:val="00482D6E"/>
    <w:rsid w:val="00483B5E"/>
    <w:rsid w:val="004868F5"/>
    <w:rsid w:val="004A11E8"/>
    <w:rsid w:val="004A36EE"/>
    <w:rsid w:val="004A608E"/>
    <w:rsid w:val="004A6BDB"/>
    <w:rsid w:val="004A721C"/>
    <w:rsid w:val="004A76DB"/>
    <w:rsid w:val="004B2956"/>
    <w:rsid w:val="004C28EA"/>
    <w:rsid w:val="004C31B0"/>
    <w:rsid w:val="004C47BC"/>
    <w:rsid w:val="004C73AD"/>
    <w:rsid w:val="004D0BDF"/>
    <w:rsid w:val="004D0DD7"/>
    <w:rsid w:val="004D1D0D"/>
    <w:rsid w:val="004D41A8"/>
    <w:rsid w:val="004D5269"/>
    <w:rsid w:val="004D62AB"/>
    <w:rsid w:val="004E1E16"/>
    <w:rsid w:val="004E42B5"/>
    <w:rsid w:val="004E46BD"/>
    <w:rsid w:val="004F04F3"/>
    <w:rsid w:val="005046F8"/>
    <w:rsid w:val="0050520E"/>
    <w:rsid w:val="0050712D"/>
    <w:rsid w:val="005075BB"/>
    <w:rsid w:val="00507A59"/>
    <w:rsid w:val="0051327B"/>
    <w:rsid w:val="00514CAF"/>
    <w:rsid w:val="005175F3"/>
    <w:rsid w:val="00520DCF"/>
    <w:rsid w:val="00522501"/>
    <w:rsid w:val="00522692"/>
    <w:rsid w:val="00522BD4"/>
    <w:rsid w:val="00524237"/>
    <w:rsid w:val="005329E0"/>
    <w:rsid w:val="0053459E"/>
    <w:rsid w:val="00541D1A"/>
    <w:rsid w:val="00547EA0"/>
    <w:rsid w:val="00551FEC"/>
    <w:rsid w:val="00554369"/>
    <w:rsid w:val="00555B79"/>
    <w:rsid w:val="005646E2"/>
    <w:rsid w:val="005647BC"/>
    <w:rsid w:val="00565458"/>
    <w:rsid w:val="00567904"/>
    <w:rsid w:val="005700B7"/>
    <w:rsid w:val="00572B02"/>
    <w:rsid w:val="00573087"/>
    <w:rsid w:val="00575E3D"/>
    <w:rsid w:val="00577422"/>
    <w:rsid w:val="005811F4"/>
    <w:rsid w:val="00584838"/>
    <w:rsid w:val="00590DBB"/>
    <w:rsid w:val="0059282D"/>
    <w:rsid w:val="005969EE"/>
    <w:rsid w:val="0059793A"/>
    <w:rsid w:val="005A0BF7"/>
    <w:rsid w:val="005A2B3C"/>
    <w:rsid w:val="005A5F4F"/>
    <w:rsid w:val="005B2B83"/>
    <w:rsid w:val="005B5553"/>
    <w:rsid w:val="005B5E8D"/>
    <w:rsid w:val="005C71AE"/>
    <w:rsid w:val="005C7E59"/>
    <w:rsid w:val="005D162A"/>
    <w:rsid w:val="005D1DFE"/>
    <w:rsid w:val="005D3707"/>
    <w:rsid w:val="005D3F9D"/>
    <w:rsid w:val="005D7841"/>
    <w:rsid w:val="005E3EE5"/>
    <w:rsid w:val="005F0FE5"/>
    <w:rsid w:val="005F4905"/>
    <w:rsid w:val="005F4BA2"/>
    <w:rsid w:val="005F58D0"/>
    <w:rsid w:val="005F5C48"/>
    <w:rsid w:val="005F6BC9"/>
    <w:rsid w:val="00603DF9"/>
    <w:rsid w:val="00615114"/>
    <w:rsid w:val="00620207"/>
    <w:rsid w:val="00625F4E"/>
    <w:rsid w:val="006263E4"/>
    <w:rsid w:val="00627A2F"/>
    <w:rsid w:val="00632C96"/>
    <w:rsid w:val="0063665D"/>
    <w:rsid w:val="00641EB6"/>
    <w:rsid w:val="00642F2F"/>
    <w:rsid w:val="006431B1"/>
    <w:rsid w:val="00646335"/>
    <w:rsid w:val="00647961"/>
    <w:rsid w:val="00647C2E"/>
    <w:rsid w:val="00647F8D"/>
    <w:rsid w:val="006542A8"/>
    <w:rsid w:val="00672C2F"/>
    <w:rsid w:val="006733DF"/>
    <w:rsid w:val="006737C4"/>
    <w:rsid w:val="00673AF2"/>
    <w:rsid w:val="006742A6"/>
    <w:rsid w:val="006774A7"/>
    <w:rsid w:val="00681C46"/>
    <w:rsid w:val="0068287D"/>
    <w:rsid w:val="006844BA"/>
    <w:rsid w:val="0068485A"/>
    <w:rsid w:val="00686A3C"/>
    <w:rsid w:val="0069130E"/>
    <w:rsid w:val="00692A19"/>
    <w:rsid w:val="006930D6"/>
    <w:rsid w:val="00694664"/>
    <w:rsid w:val="00696B74"/>
    <w:rsid w:val="006A0842"/>
    <w:rsid w:val="006A1690"/>
    <w:rsid w:val="006A28FE"/>
    <w:rsid w:val="006A44C6"/>
    <w:rsid w:val="006A5E3A"/>
    <w:rsid w:val="006B014D"/>
    <w:rsid w:val="006B2C5F"/>
    <w:rsid w:val="006B6FDF"/>
    <w:rsid w:val="006C16AF"/>
    <w:rsid w:val="006C3516"/>
    <w:rsid w:val="006C4228"/>
    <w:rsid w:val="006C771B"/>
    <w:rsid w:val="006D073A"/>
    <w:rsid w:val="006D12E5"/>
    <w:rsid w:val="006D169F"/>
    <w:rsid w:val="006D210C"/>
    <w:rsid w:val="006D6348"/>
    <w:rsid w:val="006D6C7B"/>
    <w:rsid w:val="006D70CD"/>
    <w:rsid w:val="006D768A"/>
    <w:rsid w:val="006E1D68"/>
    <w:rsid w:val="006E2FE6"/>
    <w:rsid w:val="006E3820"/>
    <w:rsid w:val="006E5075"/>
    <w:rsid w:val="006E5253"/>
    <w:rsid w:val="006E5C73"/>
    <w:rsid w:val="006E6048"/>
    <w:rsid w:val="006E7053"/>
    <w:rsid w:val="006F6479"/>
    <w:rsid w:val="00702D7E"/>
    <w:rsid w:val="007040F9"/>
    <w:rsid w:val="007046A7"/>
    <w:rsid w:val="00707C58"/>
    <w:rsid w:val="00707CC8"/>
    <w:rsid w:val="007110E8"/>
    <w:rsid w:val="0071278B"/>
    <w:rsid w:val="00715842"/>
    <w:rsid w:val="00716208"/>
    <w:rsid w:val="0071652C"/>
    <w:rsid w:val="007168C1"/>
    <w:rsid w:val="00716A7C"/>
    <w:rsid w:val="0072166B"/>
    <w:rsid w:val="00724544"/>
    <w:rsid w:val="00735788"/>
    <w:rsid w:val="00735BA4"/>
    <w:rsid w:val="00737EC0"/>
    <w:rsid w:val="0074259D"/>
    <w:rsid w:val="0074270E"/>
    <w:rsid w:val="007434E4"/>
    <w:rsid w:val="00744CA7"/>
    <w:rsid w:val="00744F24"/>
    <w:rsid w:val="00764077"/>
    <w:rsid w:val="00765D64"/>
    <w:rsid w:val="0076666B"/>
    <w:rsid w:val="00770769"/>
    <w:rsid w:val="00775766"/>
    <w:rsid w:val="00776E88"/>
    <w:rsid w:val="00777DA2"/>
    <w:rsid w:val="00777DF9"/>
    <w:rsid w:val="007801F7"/>
    <w:rsid w:val="007812FB"/>
    <w:rsid w:val="00783B28"/>
    <w:rsid w:val="0078407F"/>
    <w:rsid w:val="00785772"/>
    <w:rsid w:val="007872F5"/>
    <w:rsid w:val="00790186"/>
    <w:rsid w:val="00792355"/>
    <w:rsid w:val="00793D6A"/>
    <w:rsid w:val="00797CF0"/>
    <w:rsid w:val="007A4794"/>
    <w:rsid w:val="007B14BE"/>
    <w:rsid w:val="007B2E76"/>
    <w:rsid w:val="007B3D86"/>
    <w:rsid w:val="007B71C1"/>
    <w:rsid w:val="007B7A38"/>
    <w:rsid w:val="007C7664"/>
    <w:rsid w:val="007D2766"/>
    <w:rsid w:val="007D4103"/>
    <w:rsid w:val="007E3268"/>
    <w:rsid w:val="007E59C0"/>
    <w:rsid w:val="007F1B69"/>
    <w:rsid w:val="007F292A"/>
    <w:rsid w:val="007F3440"/>
    <w:rsid w:val="007F345E"/>
    <w:rsid w:val="007F4175"/>
    <w:rsid w:val="007F7BBF"/>
    <w:rsid w:val="0080268A"/>
    <w:rsid w:val="0080797F"/>
    <w:rsid w:val="008175B1"/>
    <w:rsid w:val="008243DC"/>
    <w:rsid w:val="0082650E"/>
    <w:rsid w:val="00827542"/>
    <w:rsid w:val="00833062"/>
    <w:rsid w:val="0083335C"/>
    <w:rsid w:val="0083374E"/>
    <w:rsid w:val="00834376"/>
    <w:rsid w:val="00835407"/>
    <w:rsid w:val="00836798"/>
    <w:rsid w:val="00843039"/>
    <w:rsid w:val="008446C2"/>
    <w:rsid w:val="00847CB0"/>
    <w:rsid w:val="00850DAC"/>
    <w:rsid w:val="00853EA8"/>
    <w:rsid w:val="0086035C"/>
    <w:rsid w:val="008631F1"/>
    <w:rsid w:val="00870454"/>
    <w:rsid w:val="0087319E"/>
    <w:rsid w:val="008734F8"/>
    <w:rsid w:val="0087389B"/>
    <w:rsid w:val="008740F7"/>
    <w:rsid w:val="00874DC8"/>
    <w:rsid w:val="008818C9"/>
    <w:rsid w:val="00883039"/>
    <w:rsid w:val="00885DDE"/>
    <w:rsid w:val="00887800"/>
    <w:rsid w:val="00890717"/>
    <w:rsid w:val="00891545"/>
    <w:rsid w:val="00892818"/>
    <w:rsid w:val="00892D36"/>
    <w:rsid w:val="00893852"/>
    <w:rsid w:val="00894C62"/>
    <w:rsid w:val="00894FC0"/>
    <w:rsid w:val="0089554F"/>
    <w:rsid w:val="008A07A1"/>
    <w:rsid w:val="008A0CE8"/>
    <w:rsid w:val="008A2229"/>
    <w:rsid w:val="008A2A34"/>
    <w:rsid w:val="008A2EDF"/>
    <w:rsid w:val="008B04C7"/>
    <w:rsid w:val="008B2325"/>
    <w:rsid w:val="008B2CFC"/>
    <w:rsid w:val="008B37F2"/>
    <w:rsid w:val="008B4F14"/>
    <w:rsid w:val="008B4F27"/>
    <w:rsid w:val="008B6E70"/>
    <w:rsid w:val="008C4B06"/>
    <w:rsid w:val="008C4D33"/>
    <w:rsid w:val="008C6F3E"/>
    <w:rsid w:val="008C7292"/>
    <w:rsid w:val="008C768F"/>
    <w:rsid w:val="008D16ED"/>
    <w:rsid w:val="008D71F1"/>
    <w:rsid w:val="008D7A47"/>
    <w:rsid w:val="008E0CC5"/>
    <w:rsid w:val="008E2781"/>
    <w:rsid w:val="008E6637"/>
    <w:rsid w:val="008F0706"/>
    <w:rsid w:val="008F532E"/>
    <w:rsid w:val="008F6D7E"/>
    <w:rsid w:val="00900CF3"/>
    <w:rsid w:val="00903DF1"/>
    <w:rsid w:val="00904A86"/>
    <w:rsid w:val="0091184A"/>
    <w:rsid w:val="009141DB"/>
    <w:rsid w:val="00914C3B"/>
    <w:rsid w:val="009222FC"/>
    <w:rsid w:val="0092396A"/>
    <w:rsid w:val="00926AA9"/>
    <w:rsid w:val="0092704A"/>
    <w:rsid w:val="00931FD5"/>
    <w:rsid w:val="00934AA7"/>
    <w:rsid w:val="00942ACE"/>
    <w:rsid w:val="00942E73"/>
    <w:rsid w:val="00944026"/>
    <w:rsid w:val="00952073"/>
    <w:rsid w:val="00952451"/>
    <w:rsid w:val="00952BDD"/>
    <w:rsid w:val="00953066"/>
    <w:rsid w:val="009574B6"/>
    <w:rsid w:val="009608EC"/>
    <w:rsid w:val="00961EEF"/>
    <w:rsid w:val="00963C5D"/>
    <w:rsid w:val="009657C4"/>
    <w:rsid w:val="00965FC4"/>
    <w:rsid w:val="00966B74"/>
    <w:rsid w:val="009705F2"/>
    <w:rsid w:val="009712BC"/>
    <w:rsid w:val="009712EA"/>
    <w:rsid w:val="00971F54"/>
    <w:rsid w:val="00973A9D"/>
    <w:rsid w:val="009742FB"/>
    <w:rsid w:val="00974D68"/>
    <w:rsid w:val="00975F18"/>
    <w:rsid w:val="0097627A"/>
    <w:rsid w:val="009772F2"/>
    <w:rsid w:val="00982048"/>
    <w:rsid w:val="0098329F"/>
    <w:rsid w:val="009843FD"/>
    <w:rsid w:val="00984A2F"/>
    <w:rsid w:val="00986553"/>
    <w:rsid w:val="009924ED"/>
    <w:rsid w:val="00995F3C"/>
    <w:rsid w:val="0099624C"/>
    <w:rsid w:val="00996E14"/>
    <w:rsid w:val="009A3DB5"/>
    <w:rsid w:val="009A7914"/>
    <w:rsid w:val="009A7DC2"/>
    <w:rsid w:val="009B05DD"/>
    <w:rsid w:val="009B2571"/>
    <w:rsid w:val="009B2C28"/>
    <w:rsid w:val="009B55DD"/>
    <w:rsid w:val="009B7614"/>
    <w:rsid w:val="009C0E71"/>
    <w:rsid w:val="009C2654"/>
    <w:rsid w:val="009C297A"/>
    <w:rsid w:val="009C3B34"/>
    <w:rsid w:val="009C45E3"/>
    <w:rsid w:val="009C486C"/>
    <w:rsid w:val="009C54AA"/>
    <w:rsid w:val="009C69B0"/>
    <w:rsid w:val="009D3C55"/>
    <w:rsid w:val="009D3D62"/>
    <w:rsid w:val="009D3F15"/>
    <w:rsid w:val="009D78E3"/>
    <w:rsid w:val="009D7B7E"/>
    <w:rsid w:val="009E09F2"/>
    <w:rsid w:val="009E1155"/>
    <w:rsid w:val="009E2C1D"/>
    <w:rsid w:val="009E451B"/>
    <w:rsid w:val="009F0E01"/>
    <w:rsid w:val="009F22C0"/>
    <w:rsid w:val="009F6F9F"/>
    <w:rsid w:val="00A033CD"/>
    <w:rsid w:val="00A040DE"/>
    <w:rsid w:val="00A05270"/>
    <w:rsid w:val="00A0589A"/>
    <w:rsid w:val="00A06144"/>
    <w:rsid w:val="00A10B42"/>
    <w:rsid w:val="00A10DCC"/>
    <w:rsid w:val="00A12EEA"/>
    <w:rsid w:val="00A14369"/>
    <w:rsid w:val="00A14FEE"/>
    <w:rsid w:val="00A15BAE"/>
    <w:rsid w:val="00A17177"/>
    <w:rsid w:val="00A17A8E"/>
    <w:rsid w:val="00A21C1D"/>
    <w:rsid w:val="00A224F5"/>
    <w:rsid w:val="00A2480B"/>
    <w:rsid w:val="00A335B3"/>
    <w:rsid w:val="00A33B47"/>
    <w:rsid w:val="00A34392"/>
    <w:rsid w:val="00A416AA"/>
    <w:rsid w:val="00A46332"/>
    <w:rsid w:val="00A50D5B"/>
    <w:rsid w:val="00A5603D"/>
    <w:rsid w:val="00A60D37"/>
    <w:rsid w:val="00A61ADF"/>
    <w:rsid w:val="00A63EC0"/>
    <w:rsid w:val="00A6426C"/>
    <w:rsid w:val="00A6462A"/>
    <w:rsid w:val="00A65291"/>
    <w:rsid w:val="00A66C13"/>
    <w:rsid w:val="00A72A3A"/>
    <w:rsid w:val="00A743B1"/>
    <w:rsid w:val="00A81E33"/>
    <w:rsid w:val="00A82245"/>
    <w:rsid w:val="00A829E7"/>
    <w:rsid w:val="00A82BAF"/>
    <w:rsid w:val="00A8397B"/>
    <w:rsid w:val="00A83EDB"/>
    <w:rsid w:val="00A85CD3"/>
    <w:rsid w:val="00A8678B"/>
    <w:rsid w:val="00A86BD1"/>
    <w:rsid w:val="00A87D87"/>
    <w:rsid w:val="00A913E3"/>
    <w:rsid w:val="00A91789"/>
    <w:rsid w:val="00AA03FE"/>
    <w:rsid w:val="00AB04C2"/>
    <w:rsid w:val="00AB1A67"/>
    <w:rsid w:val="00AB4899"/>
    <w:rsid w:val="00AB6AA6"/>
    <w:rsid w:val="00AB6B31"/>
    <w:rsid w:val="00AC170B"/>
    <w:rsid w:val="00AC5A9C"/>
    <w:rsid w:val="00AC734F"/>
    <w:rsid w:val="00AD518B"/>
    <w:rsid w:val="00AD62C5"/>
    <w:rsid w:val="00AD6462"/>
    <w:rsid w:val="00AD6CB0"/>
    <w:rsid w:val="00AE3283"/>
    <w:rsid w:val="00AE4643"/>
    <w:rsid w:val="00AE4B4F"/>
    <w:rsid w:val="00AE4EC1"/>
    <w:rsid w:val="00AE5138"/>
    <w:rsid w:val="00AE687A"/>
    <w:rsid w:val="00AE74D4"/>
    <w:rsid w:val="00AF5A67"/>
    <w:rsid w:val="00AF64FC"/>
    <w:rsid w:val="00AF6D9A"/>
    <w:rsid w:val="00AF6E1A"/>
    <w:rsid w:val="00B00FBD"/>
    <w:rsid w:val="00B02BAA"/>
    <w:rsid w:val="00B04B33"/>
    <w:rsid w:val="00B05AD3"/>
    <w:rsid w:val="00B1034C"/>
    <w:rsid w:val="00B110D2"/>
    <w:rsid w:val="00B11ECB"/>
    <w:rsid w:val="00B12110"/>
    <w:rsid w:val="00B12DA1"/>
    <w:rsid w:val="00B1461F"/>
    <w:rsid w:val="00B14905"/>
    <w:rsid w:val="00B2734A"/>
    <w:rsid w:val="00B27473"/>
    <w:rsid w:val="00B333EF"/>
    <w:rsid w:val="00B33B8C"/>
    <w:rsid w:val="00B33D6A"/>
    <w:rsid w:val="00B37623"/>
    <w:rsid w:val="00B40D1E"/>
    <w:rsid w:val="00B415DB"/>
    <w:rsid w:val="00B42154"/>
    <w:rsid w:val="00B50CA0"/>
    <w:rsid w:val="00B53CA4"/>
    <w:rsid w:val="00B6143E"/>
    <w:rsid w:val="00B62AA7"/>
    <w:rsid w:val="00B64CB0"/>
    <w:rsid w:val="00B67285"/>
    <w:rsid w:val="00B70DEE"/>
    <w:rsid w:val="00B72F7B"/>
    <w:rsid w:val="00B74696"/>
    <w:rsid w:val="00B80E75"/>
    <w:rsid w:val="00B84C86"/>
    <w:rsid w:val="00B9316F"/>
    <w:rsid w:val="00B95E11"/>
    <w:rsid w:val="00B96E5A"/>
    <w:rsid w:val="00BA0C7A"/>
    <w:rsid w:val="00BB54AD"/>
    <w:rsid w:val="00BC0D51"/>
    <w:rsid w:val="00BC5577"/>
    <w:rsid w:val="00BD2BDB"/>
    <w:rsid w:val="00BD31C6"/>
    <w:rsid w:val="00BD3362"/>
    <w:rsid w:val="00BD3BF6"/>
    <w:rsid w:val="00BD3C08"/>
    <w:rsid w:val="00BD3E73"/>
    <w:rsid w:val="00BD7DFE"/>
    <w:rsid w:val="00BE3672"/>
    <w:rsid w:val="00BE5825"/>
    <w:rsid w:val="00BE5CA6"/>
    <w:rsid w:val="00C030E5"/>
    <w:rsid w:val="00C07C86"/>
    <w:rsid w:val="00C07D42"/>
    <w:rsid w:val="00C13D43"/>
    <w:rsid w:val="00C16665"/>
    <w:rsid w:val="00C21E22"/>
    <w:rsid w:val="00C23DF0"/>
    <w:rsid w:val="00C305C4"/>
    <w:rsid w:val="00C31149"/>
    <w:rsid w:val="00C423DB"/>
    <w:rsid w:val="00C43D8B"/>
    <w:rsid w:val="00C461D2"/>
    <w:rsid w:val="00C5229F"/>
    <w:rsid w:val="00C52A4C"/>
    <w:rsid w:val="00C549C3"/>
    <w:rsid w:val="00C54B26"/>
    <w:rsid w:val="00C55F35"/>
    <w:rsid w:val="00C6189A"/>
    <w:rsid w:val="00C74631"/>
    <w:rsid w:val="00C754A0"/>
    <w:rsid w:val="00C800E9"/>
    <w:rsid w:val="00C80D9D"/>
    <w:rsid w:val="00C81119"/>
    <w:rsid w:val="00C8225A"/>
    <w:rsid w:val="00C8259E"/>
    <w:rsid w:val="00C86083"/>
    <w:rsid w:val="00C90006"/>
    <w:rsid w:val="00C91A02"/>
    <w:rsid w:val="00C94F66"/>
    <w:rsid w:val="00C95F19"/>
    <w:rsid w:val="00CA1C76"/>
    <w:rsid w:val="00CA7226"/>
    <w:rsid w:val="00CA7F2F"/>
    <w:rsid w:val="00CB580F"/>
    <w:rsid w:val="00CB7E1C"/>
    <w:rsid w:val="00CC0705"/>
    <w:rsid w:val="00CC78F5"/>
    <w:rsid w:val="00CD2123"/>
    <w:rsid w:val="00CE09CA"/>
    <w:rsid w:val="00CE0EB2"/>
    <w:rsid w:val="00CE6817"/>
    <w:rsid w:val="00D004B0"/>
    <w:rsid w:val="00D02C4B"/>
    <w:rsid w:val="00D039FA"/>
    <w:rsid w:val="00D04189"/>
    <w:rsid w:val="00D045A9"/>
    <w:rsid w:val="00D04F93"/>
    <w:rsid w:val="00D10E65"/>
    <w:rsid w:val="00D10EEE"/>
    <w:rsid w:val="00D15D20"/>
    <w:rsid w:val="00D17B62"/>
    <w:rsid w:val="00D23B91"/>
    <w:rsid w:val="00D2556F"/>
    <w:rsid w:val="00D269BF"/>
    <w:rsid w:val="00D30028"/>
    <w:rsid w:val="00D3196D"/>
    <w:rsid w:val="00D36FD3"/>
    <w:rsid w:val="00D377D9"/>
    <w:rsid w:val="00D40125"/>
    <w:rsid w:val="00D46FE7"/>
    <w:rsid w:val="00D53F1B"/>
    <w:rsid w:val="00D53F7F"/>
    <w:rsid w:val="00D548B2"/>
    <w:rsid w:val="00D56E1B"/>
    <w:rsid w:val="00D5797D"/>
    <w:rsid w:val="00D62A34"/>
    <w:rsid w:val="00D632A9"/>
    <w:rsid w:val="00D67019"/>
    <w:rsid w:val="00D8074E"/>
    <w:rsid w:val="00D837A7"/>
    <w:rsid w:val="00D84B5D"/>
    <w:rsid w:val="00D865A9"/>
    <w:rsid w:val="00D8798C"/>
    <w:rsid w:val="00D87DEB"/>
    <w:rsid w:val="00D916E8"/>
    <w:rsid w:val="00D9231C"/>
    <w:rsid w:val="00D96790"/>
    <w:rsid w:val="00D97314"/>
    <w:rsid w:val="00DA3331"/>
    <w:rsid w:val="00DA38A4"/>
    <w:rsid w:val="00DB4103"/>
    <w:rsid w:val="00DB6EA8"/>
    <w:rsid w:val="00DC5C5B"/>
    <w:rsid w:val="00DC71E1"/>
    <w:rsid w:val="00DC73CC"/>
    <w:rsid w:val="00DD3583"/>
    <w:rsid w:val="00DE2318"/>
    <w:rsid w:val="00DF127A"/>
    <w:rsid w:val="00E036D8"/>
    <w:rsid w:val="00E05189"/>
    <w:rsid w:val="00E11000"/>
    <w:rsid w:val="00E11E8C"/>
    <w:rsid w:val="00E14555"/>
    <w:rsid w:val="00E16171"/>
    <w:rsid w:val="00E20202"/>
    <w:rsid w:val="00E2053A"/>
    <w:rsid w:val="00E274A4"/>
    <w:rsid w:val="00E278B4"/>
    <w:rsid w:val="00E30B7F"/>
    <w:rsid w:val="00E328EB"/>
    <w:rsid w:val="00E378C6"/>
    <w:rsid w:val="00E5087F"/>
    <w:rsid w:val="00E50EC0"/>
    <w:rsid w:val="00E5149D"/>
    <w:rsid w:val="00E515A1"/>
    <w:rsid w:val="00E54912"/>
    <w:rsid w:val="00E55313"/>
    <w:rsid w:val="00E622C0"/>
    <w:rsid w:val="00E6360C"/>
    <w:rsid w:val="00E636E6"/>
    <w:rsid w:val="00E640C4"/>
    <w:rsid w:val="00E643D7"/>
    <w:rsid w:val="00E646B7"/>
    <w:rsid w:val="00E65A46"/>
    <w:rsid w:val="00E70538"/>
    <w:rsid w:val="00E70862"/>
    <w:rsid w:val="00E722C2"/>
    <w:rsid w:val="00E77ACA"/>
    <w:rsid w:val="00E8067F"/>
    <w:rsid w:val="00E806CE"/>
    <w:rsid w:val="00E8143D"/>
    <w:rsid w:val="00E85D12"/>
    <w:rsid w:val="00E86793"/>
    <w:rsid w:val="00E87E01"/>
    <w:rsid w:val="00E90128"/>
    <w:rsid w:val="00E92B31"/>
    <w:rsid w:val="00EA15B1"/>
    <w:rsid w:val="00EA393C"/>
    <w:rsid w:val="00EA39D1"/>
    <w:rsid w:val="00EA6717"/>
    <w:rsid w:val="00EB0C2F"/>
    <w:rsid w:val="00EB2806"/>
    <w:rsid w:val="00EB3550"/>
    <w:rsid w:val="00EB4C4F"/>
    <w:rsid w:val="00EC22A0"/>
    <w:rsid w:val="00EC2384"/>
    <w:rsid w:val="00EC29DE"/>
    <w:rsid w:val="00EC4A62"/>
    <w:rsid w:val="00EC646E"/>
    <w:rsid w:val="00ED2695"/>
    <w:rsid w:val="00ED421D"/>
    <w:rsid w:val="00EE23F4"/>
    <w:rsid w:val="00EE2ABD"/>
    <w:rsid w:val="00EE2E10"/>
    <w:rsid w:val="00EE5CF8"/>
    <w:rsid w:val="00EE7443"/>
    <w:rsid w:val="00EF6465"/>
    <w:rsid w:val="00EF6F08"/>
    <w:rsid w:val="00EF70E5"/>
    <w:rsid w:val="00F05D87"/>
    <w:rsid w:val="00F06A12"/>
    <w:rsid w:val="00F06D65"/>
    <w:rsid w:val="00F12CDE"/>
    <w:rsid w:val="00F142BC"/>
    <w:rsid w:val="00F15032"/>
    <w:rsid w:val="00F157D1"/>
    <w:rsid w:val="00F1778B"/>
    <w:rsid w:val="00F179E6"/>
    <w:rsid w:val="00F26DDB"/>
    <w:rsid w:val="00F30644"/>
    <w:rsid w:val="00F312DE"/>
    <w:rsid w:val="00F31B89"/>
    <w:rsid w:val="00F31E6D"/>
    <w:rsid w:val="00F323E9"/>
    <w:rsid w:val="00F32BC1"/>
    <w:rsid w:val="00F401FD"/>
    <w:rsid w:val="00F55080"/>
    <w:rsid w:val="00F5599C"/>
    <w:rsid w:val="00F60EF2"/>
    <w:rsid w:val="00F60FC1"/>
    <w:rsid w:val="00F61507"/>
    <w:rsid w:val="00F6195E"/>
    <w:rsid w:val="00F61EB2"/>
    <w:rsid w:val="00F64848"/>
    <w:rsid w:val="00F64C0C"/>
    <w:rsid w:val="00F65477"/>
    <w:rsid w:val="00F66A70"/>
    <w:rsid w:val="00F70222"/>
    <w:rsid w:val="00F74B7B"/>
    <w:rsid w:val="00F809D6"/>
    <w:rsid w:val="00F8357D"/>
    <w:rsid w:val="00F8380D"/>
    <w:rsid w:val="00F855B8"/>
    <w:rsid w:val="00F87AC7"/>
    <w:rsid w:val="00F90135"/>
    <w:rsid w:val="00F909D0"/>
    <w:rsid w:val="00F90B9D"/>
    <w:rsid w:val="00F91707"/>
    <w:rsid w:val="00F9592A"/>
    <w:rsid w:val="00F96430"/>
    <w:rsid w:val="00F96C14"/>
    <w:rsid w:val="00FA0FBF"/>
    <w:rsid w:val="00FA20A4"/>
    <w:rsid w:val="00FA3764"/>
    <w:rsid w:val="00FA60A5"/>
    <w:rsid w:val="00FA62DC"/>
    <w:rsid w:val="00FA7195"/>
    <w:rsid w:val="00FB11E8"/>
    <w:rsid w:val="00FB22B9"/>
    <w:rsid w:val="00FB28DC"/>
    <w:rsid w:val="00FB2AFA"/>
    <w:rsid w:val="00FB699B"/>
    <w:rsid w:val="00FC00FC"/>
    <w:rsid w:val="00FC3B49"/>
    <w:rsid w:val="00FC3EC2"/>
    <w:rsid w:val="00FC5CB8"/>
    <w:rsid w:val="00FD0709"/>
    <w:rsid w:val="00FD2E79"/>
    <w:rsid w:val="00FD72AB"/>
    <w:rsid w:val="00FE0527"/>
    <w:rsid w:val="00FE4346"/>
    <w:rsid w:val="00FE6609"/>
    <w:rsid w:val="00FF271A"/>
    <w:rsid w:val="00FF50E0"/>
    <w:rsid w:val="00FF5967"/>
    <w:rsid w:val="01157CCA"/>
    <w:rsid w:val="014B1C38"/>
    <w:rsid w:val="02EB0F66"/>
    <w:rsid w:val="030B1590"/>
    <w:rsid w:val="03164992"/>
    <w:rsid w:val="033B177D"/>
    <w:rsid w:val="0432311F"/>
    <w:rsid w:val="04910E13"/>
    <w:rsid w:val="04E55E3A"/>
    <w:rsid w:val="055F6389"/>
    <w:rsid w:val="063B6739"/>
    <w:rsid w:val="08B3235C"/>
    <w:rsid w:val="09296F01"/>
    <w:rsid w:val="09A84CAA"/>
    <w:rsid w:val="09AC2920"/>
    <w:rsid w:val="0A4546CD"/>
    <w:rsid w:val="0A9D2C05"/>
    <w:rsid w:val="0B7F3640"/>
    <w:rsid w:val="0C247C06"/>
    <w:rsid w:val="0C5D773D"/>
    <w:rsid w:val="0CF60454"/>
    <w:rsid w:val="0D7754CF"/>
    <w:rsid w:val="0D7E2A6A"/>
    <w:rsid w:val="0DA16FB4"/>
    <w:rsid w:val="0E7E3960"/>
    <w:rsid w:val="0ECE2C8D"/>
    <w:rsid w:val="107556EE"/>
    <w:rsid w:val="10A328AC"/>
    <w:rsid w:val="11097CFF"/>
    <w:rsid w:val="11A93BAF"/>
    <w:rsid w:val="12A869B3"/>
    <w:rsid w:val="162C38CF"/>
    <w:rsid w:val="163F09E2"/>
    <w:rsid w:val="176150F5"/>
    <w:rsid w:val="177B58CD"/>
    <w:rsid w:val="18020BC4"/>
    <w:rsid w:val="18E70052"/>
    <w:rsid w:val="19254BEF"/>
    <w:rsid w:val="19DC3498"/>
    <w:rsid w:val="1A07319C"/>
    <w:rsid w:val="1A33516B"/>
    <w:rsid w:val="1B7570E3"/>
    <w:rsid w:val="1E2D6CC4"/>
    <w:rsid w:val="1EFC0D73"/>
    <w:rsid w:val="1F025BBE"/>
    <w:rsid w:val="1F162A66"/>
    <w:rsid w:val="1FD03D76"/>
    <w:rsid w:val="203877A5"/>
    <w:rsid w:val="20EB3EDD"/>
    <w:rsid w:val="21A428FD"/>
    <w:rsid w:val="228869AA"/>
    <w:rsid w:val="2290038B"/>
    <w:rsid w:val="22C22324"/>
    <w:rsid w:val="23567244"/>
    <w:rsid w:val="236513B9"/>
    <w:rsid w:val="261507FA"/>
    <w:rsid w:val="26566759"/>
    <w:rsid w:val="27717DCB"/>
    <w:rsid w:val="281D1648"/>
    <w:rsid w:val="28574F87"/>
    <w:rsid w:val="28AF482A"/>
    <w:rsid w:val="291D580A"/>
    <w:rsid w:val="29674BDA"/>
    <w:rsid w:val="29831EC9"/>
    <w:rsid w:val="29B44350"/>
    <w:rsid w:val="2B245C20"/>
    <w:rsid w:val="2B9343A5"/>
    <w:rsid w:val="2C231C3E"/>
    <w:rsid w:val="2C43766C"/>
    <w:rsid w:val="2D31750C"/>
    <w:rsid w:val="2DE634B9"/>
    <w:rsid w:val="2EDF550D"/>
    <w:rsid w:val="31495EDE"/>
    <w:rsid w:val="3181362E"/>
    <w:rsid w:val="31BC6863"/>
    <w:rsid w:val="32FA2CBE"/>
    <w:rsid w:val="338B35BF"/>
    <w:rsid w:val="34092461"/>
    <w:rsid w:val="34EF42C7"/>
    <w:rsid w:val="36607CEC"/>
    <w:rsid w:val="36EF1694"/>
    <w:rsid w:val="388443D5"/>
    <w:rsid w:val="390659FB"/>
    <w:rsid w:val="3A014C0D"/>
    <w:rsid w:val="3B6A356D"/>
    <w:rsid w:val="3BF1493F"/>
    <w:rsid w:val="3DBA5B08"/>
    <w:rsid w:val="3EA52FF6"/>
    <w:rsid w:val="3F2969DF"/>
    <w:rsid w:val="3F646DBC"/>
    <w:rsid w:val="403544BA"/>
    <w:rsid w:val="43001B9C"/>
    <w:rsid w:val="441404FD"/>
    <w:rsid w:val="44E0509A"/>
    <w:rsid w:val="45C94FEF"/>
    <w:rsid w:val="462D2409"/>
    <w:rsid w:val="46466D09"/>
    <w:rsid w:val="47C1249E"/>
    <w:rsid w:val="481B4427"/>
    <w:rsid w:val="485756B9"/>
    <w:rsid w:val="48835154"/>
    <w:rsid w:val="4939003C"/>
    <w:rsid w:val="4A010EEA"/>
    <w:rsid w:val="4CFB5EE3"/>
    <w:rsid w:val="4D263AF9"/>
    <w:rsid w:val="4D4B074A"/>
    <w:rsid w:val="4D9D52DA"/>
    <w:rsid w:val="4FC205E1"/>
    <w:rsid w:val="502C74D1"/>
    <w:rsid w:val="507C6DB1"/>
    <w:rsid w:val="516F3CBE"/>
    <w:rsid w:val="517C5E2B"/>
    <w:rsid w:val="51C639B2"/>
    <w:rsid w:val="51F17F8E"/>
    <w:rsid w:val="52823DEE"/>
    <w:rsid w:val="52EC4B4A"/>
    <w:rsid w:val="53510242"/>
    <w:rsid w:val="54102DA0"/>
    <w:rsid w:val="54B565B4"/>
    <w:rsid w:val="5517751A"/>
    <w:rsid w:val="56194C24"/>
    <w:rsid w:val="56F05266"/>
    <w:rsid w:val="57350A15"/>
    <w:rsid w:val="575168F3"/>
    <w:rsid w:val="58732C56"/>
    <w:rsid w:val="594D5E25"/>
    <w:rsid w:val="59E14756"/>
    <w:rsid w:val="5A7E4E4D"/>
    <w:rsid w:val="5AB55191"/>
    <w:rsid w:val="5C957923"/>
    <w:rsid w:val="5CE11CAD"/>
    <w:rsid w:val="5D0F5ABF"/>
    <w:rsid w:val="5DE021E2"/>
    <w:rsid w:val="5DFA5BF3"/>
    <w:rsid w:val="5E545B85"/>
    <w:rsid w:val="5F765DB0"/>
    <w:rsid w:val="622A6C63"/>
    <w:rsid w:val="62EF21DB"/>
    <w:rsid w:val="631D68AE"/>
    <w:rsid w:val="632D6F40"/>
    <w:rsid w:val="648E32AE"/>
    <w:rsid w:val="64A06B15"/>
    <w:rsid w:val="64A110CF"/>
    <w:rsid w:val="64D252BD"/>
    <w:rsid w:val="657F52AC"/>
    <w:rsid w:val="65D2279C"/>
    <w:rsid w:val="663A01C8"/>
    <w:rsid w:val="668B2466"/>
    <w:rsid w:val="66DB439B"/>
    <w:rsid w:val="66E003B2"/>
    <w:rsid w:val="6817729A"/>
    <w:rsid w:val="699E695C"/>
    <w:rsid w:val="69BF7E12"/>
    <w:rsid w:val="6B9C09D1"/>
    <w:rsid w:val="6C2E4C0D"/>
    <w:rsid w:val="6DA6798D"/>
    <w:rsid w:val="6DED4397"/>
    <w:rsid w:val="6F420D0F"/>
    <w:rsid w:val="701B5C41"/>
    <w:rsid w:val="71587B7E"/>
    <w:rsid w:val="7276222A"/>
    <w:rsid w:val="73344FDD"/>
    <w:rsid w:val="73616E39"/>
    <w:rsid w:val="73C0694D"/>
    <w:rsid w:val="74A54B7B"/>
    <w:rsid w:val="751B270C"/>
    <w:rsid w:val="768C17FB"/>
    <w:rsid w:val="77722493"/>
    <w:rsid w:val="79002FDD"/>
    <w:rsid w:val="7A2C2B5D"/>
    <w:rsid w:val="7A3C397B"/>
    <w:rsid w:val="7CBB28FC"/>
    <w:rsid w:val="7D2106AF"/>
    <w:rsid w:val="7D2D2186"/>
    <w:rsid w:val="7E54777A"/>
    <w:rsid w:val="7EE8612B"/>
    <w:rsid w:val="7EFE77F8"/>
    <w:rsid w:val="7F6041C6"/>
    <w:rsid w:val="7FCF25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99" w:semiHidden="0"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5">
    <w:name w:val="heading 1"/>
    <w:basedOn w:val="1"/>
    <w:next w:val="1"/>
    <w:link w:val="48"/>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6">
    <w:name w:val="heading 2"/>
    <w:basedOn w:val="1"/>
    <w:next w:val="1"/>
    <w:link w:val="4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7">
    <w:name w:val="heading 3"/>
    <w:basedOn w:val="1"/>
    <w:next w:val="1"/>
    <w:link w:val="50"/>
    <w:qFormat/>
    <w:uiPriority w:val="9"/>
    <w:pPr>
      <w:keepNext/>
      <w:keepLines/>
      <w:spacing w:before="260" w:after="260" w:line="416" w:lineRule="auto"/>
      <w:outlineLvl w:val="2"/>
    </w:pPr>
    <w:rPr>
      <w:b/>
      <w:bCs/>
      <w:sz w:val="32"/>
      <w:szCs w:val="32"/>
    </w:rPr>
  </w:style>
  <w:style w:type="paragraph" w:styleId="8">
    <w:name w:val="heading 4"/>
    <w:basedOn w:val="1"/>
    <w:next w:val="1"/>
    <w:link w:val="51"/>
    <w:qFormat/>
    <w:uiPriority w:val="9"/>
    <w:pPr>
      <w:keepNext/>
      <w:keepLines/>
      <w:spacing w:before="280" w:after="290" w:line="376" w:lineRule="auto"/>
      <w:outlineLvl w:val="3"/>
    </w:pPr>
    <w:rPr>
      <w:rFonts w:ascii="Cambria" w:hAnsi="Cambria" w:eastAsia="宋体" w:cs="Times New Roman"/>
      <w:b/>
      <w:bCs/>
      <w:szCs w:val="28"/>
    </w:rPr>
  </w:style>
  <w:style w:type="paragraph" w:styleId="9">
    <w:name w:val="heading 5"/>
    <w:basedOn w:val="1"/>
    <w:next w:val="1"/>
    <w:link w:val="52"/>
    <w:qFormat/>
    <w:uiPriority w:val="9"/>
    <w:pPr>
      <w:keepNext/>
      <w:keepLines/>
      <w:spacing w:before="280" w:after="290" w:line="376" w:lineRule="auto"/>
      <w:outlineLvl w:val="4"/>
    </w:pPr>
    <w:rPr>
      <w:b/>
      <w:bCs/>
      <w:szCs w:val="28"/>
    </w:rPr>
  </w:style>
  <w:style w:type="paragraph" w:styleId="10">
    <w:name w:val="heading 6"/>
    <w:basedOn w:val="1"/>
    <w:next w:val="1"/>
    <w:link w:val="53"/>
    <w:qFormat/>
    <w:uiPriority w:val="9"/>
    <w:pPr>
      <w:keepNext/>
      <w:keepLines/>
      <w:spacing w:before="240" w:after="64" w:line="320" w:lineRule="auto"/>
      <w:outlineLvl w:val="5"/>
    </w:pPr>
    <w:rPr>
      <w:rFonts w:ascii="Cambria" w:hAnsi="Cambria" w:eastAsia="宋体" w:cs="Times New Roman"/>
      <w:b/>
      <w:bCs/>
      <w:sz w:val="24"/>
      <w:szCs w:val="24"/>
    </w:rPr>
  </w:style>
  <w:style w:type="paragraph" w:styleId="11">
    <w:name w:val="heading 7"/>
    <w:basedOn w:val="1"/>
    <w:next w:val="1"/>
    <w:link w:val="54"/>
    <w:qFormat/>
    <w:uiPriority w:val="9"/>
    <w:pPr>
      <w:keepNext/>
      <w:keepLines/>
      <w:spacing w:before="240" w:after="64" w:line="320" w:lineRule="auto"/>
      <w:outlineLvl w:val="6"/>
    </w:pPr>
    <w:rPr>
      <w:b/>
      <w:bCs/>
      <w:sz w:val="24"/>
      <w:szCs w:val="24"/>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 w:val="32"/>
    </w:rPr>
  </w:style>
  <w:style w:type="paragraph" w:customStyle="1" w:styleId="3">
    <w:name w:val="Default"/>
    <w:next w:val="4"/>
    <w:unhideWhenUsed/>
    <w:qFormat/>
    <w:uiPriority w:val="99"/>
    <w:pPr>
      <w:widowControl w:val="0"/>
      <w:autoSpaceDE w:val="0"/>
      <w:autoSpaceDN w:val="0"/>
      <w:adjustRightInd w:val="0"/>
    </w:pPr>
    <w:rPr>
      <w:rFonts w:ascii="宋体" w:hAnsi="宋体" w:eastAsia="宋体" w:cs="Times New Roman"/>
      <w:color w:val="000000"/>
      <w:kern w:val="0"/>
      <w:sz w:val="24"/>
      <w:szCs w:val="20"/>
      <w:lang w:val="en-US" w:eastAsia="zh-CN" w:bidi="ar-SA"/>
    </w:rPr>
  </w:style>
  <w:style w:type="paragraph" w:styleId="4">
    <w:name w:val="toc 2"/>
    <w:basedOn w:val="1"/>
    <w:next w:val="1"/>
    <w:unhideWhenUsed/>
    <w:qFormat/>
    <w:uiPriority w:val="39"/>
    <w:pPr>
      <w:ind w:left="420" w:leftChars="200"/>
    </w:pPr>
  </w:style>
  <w:style w:type="paragraph" w:styleId="12">
    <w:name w:val="Normal Indent"/>
    <w:basedOn w:val="1"/>
    <w:qFormat/>
    <w:uiPriority w:val="0"/>
    <w:pPr>
      <w:ind w:firstLine="420"/>
    </w:pPr>
    <w:rPr>
      <w:rFonts w:ascii="Times New Roman" w:hAnsi="Times New Roman" w:cs="Times New Roman"/>
      <w:szCs w:val="20"/>
    </w:rPr>
  </w:style>
  <w:style w:type="paragraph" w:styleId="13">
    <w:name w:val="annotation text"/>
    <w:basedOn w:val="1"/>
    <w:qFormat/>
    <w:uiPriority w:val="0"/>
    <w:pPr>
      <w:jc w:val="left"/>
    </w:pPr>
    <w:rPr>
      <w:kern w:val="0"/>
      <w:sz w:val="21"/>
      <w:szCs w:val="21"/>
    </w:rPr>
  </w:style>
  <w:style w:type="paragraph" w:styleId="14">
    <w:name w:val="Body Text Indent"/>
    <w:basedOn w:val="1"/>
    <w:next w:val="15"/>
    <w:link w:val="47"/>
    <w:qFormat/>
    <w:uiPriority w:val="0"/>
    <w:pPr>
      <w:spacing w:line="200" w:lineRule="atLeast"/>
      <w:ind w:firstLine="301"/>
    </w:pPr>
    <w:rPr>
      <w:rFonts w:ascii="宋体" w:hAnsi="Courier New"/>
      <w:spacing w:val="-4"/>
      <w:kern w:val="0"/>
      <w:sz w:val="18"/>
    </w:rPr>
  </w:style>
  <w:style w:type="paragraph" w:styleId="15">
    <w:name w:val="envelope return"/>
    <w:basedOn w:val="1"/>
    <w:qFormat/>
    <w:uiPriority w:val="0"/>
    <w:pPr>
      <w:snapToGrid w:val="0"/>
    </w:pPr>
    <w:rPr>
      <w:rFonts w:ascii="Arial" w:hAnsi="Arial"/>
    </w:rPr>
  </w:style>
  <w:style w:type="paragraph" w:styleId="16">
    <w:name w:val="Plain Text"/>
    <w:basedOn w:val="1"/>
    <w:link w:val="55"/>
    <w:qFormat/>
    <w:uiPriority w:val="0"/>
    <w:pPr>
      <w:spacing w:beforeLines="50" w:afterLines="50" w:line="400" w:lineRule="atLeast"/>
    </w:pPr>
    <w:rPr>
      <w:rFonts w:ascii="宋体" w:hAnsi="Courier New"/>
      <w:kern w:val="0"/>
      <w:sz w:val="24"/>
    </w:rPr>
  </w:style>
  <w:style w:type="paragraph" w:styleId="17">
    <w:name w:val="Date"/>
    <w:basedOn w:val="1"/>
    <w:next w:val="1"/>
    <w:link w:val="56"/>
    <w:unhideWhenUsed/>
    <w:qFormat/>
    <w:uiPriority w:val="99"/>
    <w:pPr>
      <w:ind w:left="100" w:leftChars="2500"/>
    </w:pPr>
  </w:style>
  <w:style w:type="paragraph" w:styleId="18">
    <w:name w:val="Balloon Text"/>
    <w:basedOn w:val="1"/>
    <w:link w:val="57"/>
    <w:unhideWhenUsed/>
    <w:qFormat/>
    <w:uiPriority w:val="99"/>
    <w:rPr>
      <w:sz w:val="18"/>
      <w:szCs w:val="18"/>
    </w:rPr>
  </w:style>
  <w:style w:type="paragraph" w:styleId="19">
    <w:name w:val="footer"/>
    <w:basedOn w:val="1"/>
    <w:link w:val="58"/>
    <w:unhideWhenUsed/>
    <w:qFormat/>
    <w:uiPriority w:val="99"/>
    <w:pPr>
      <w:tabs>
        <w:tab w:val="center" w:pos="4153"/>
        <w:tab w:val="right" w:pos="8306"/>
      </w:tabs>
      <w:snapToGrid w:val="0"/>
      <w:jc w:val="left"/>
    </w:pPr>
    <w:rPr>
      <w:sz w:val="18"/>
      <w:szCs w:val="18"/>
    </w:rPr>
  </w:style>
  <w:style w:type="paragraph" w:styleId="20">
    <w:name w:val="header"/>
    <w:basedOn w:val="1"/>
    <w:link w:val="59"/>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tabs>
        <w:tab w:val="right" w:leader="dot" w:pos="8296"/>
      </w:tabs>
      <w:jc w:val="center"/>
    </w:pPr>
    <w:rPr>
      <w:rFonts w:ascii="华文中宋" w:hAnsi="华文中宋" w:eastAsia="华文中宋"/>
      <w:b/>
      <w:sz w:val="36"/>
      <w:szCs w:val="36"/>
    </w:rPr>
  </w:style>
  <w:style w:type="paragraph" w:styleId="22">
    <w:name w:val="List"/>
    <w:basedOn w:val="1"/>
    <w:qFormat/>
    <w:uiPriority w:val="0"/>
    <w:pPr>
      <w:ind w:left="420" w:hanging="420"/>
    </w:pPr>
  </w:style>
  <w:style w:type="paragraph" w:styleId="23">
    <w:name w:val="index 7"/>
    <w:basedOn w:val="1"/>
    <w:next w:val="1"/>
    <w:unhideWhenUsed/>
    <w:qFormat/>
    <w:uiPriority w:val="99"/>
    <w:pPr>
      <w:ind w:left="1200" w:leftChars="1200"/>
    </w:pPr>
  </w:style>
  <w:style w:type="paragraph" w:styleId="24">
    <w:name w:val="Normal (Web)"/>
    <w:basedOn w:val="1"/>
    <w:qFormat/>
    <w:uiPriority w:val="0"/>
    <w:pPr>
      <w:widowControl/>
      <w:spacing w:before="100" w:beforeAutospacing="1" w:after="100" w:afterAutospacing="1"/>
      <w:ind w:firstLine="420"/>
      <w:jc w:val="left"/>
    </w:pPr>
    <w:rPr>
      <w:rFonts w:ascii="宋体" w:hAnsi="宋体"/>
      <w:kern w:val="0"/>
      <w:sz w:val="20"/>
    </w:rPr>
  </w:style>
  <w:style w:type="paragraph" w:styleId="25">
    <w:name w:val="Title"/>
    <w:basedOn w:val="1"/>
    <w:next w:val="1"/>
    <w:link w:val="60"/>
    <w:qFormat/>
    <w:uiPriority w:val="10"/>
    <w:pPr>
      <w:spacing w:before="240" w:after="60"/>
      <w:jc w:val="center"/>
      <w:outlineLvl w:val="0"/>
    </w:pPr>
    <w:rPr>
      <w:rFonts w:ascii="Cambria" w:hAnsi="Cambria" w:cs="Times New Roman"/>
      <w:b/>
      <w:bCs/>
      <w:sz w:val="32"/>
      <w:szCs w:val="32"/>
    </w:rPr>
  </w:style>
  <w:style w:type="paragraph" w:styleId="26">
    <w:name w:val="Body Text First Indent 2"/>
    <w:basedOn w:val="14"/>
    <w:next w:val="22"/>
    <w:qFormat/>
    <w:uiPriority w:val="0"/>
    <w:pPr>
      <w:ind w:firstLine="420" w:firstLineChars="200"/>
    </w:p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b/>
      <w:bCs/>
    </w:rPr>
  </w:style>
  <w:style w:type="character" w:styleId="31">
    <w:name w:val="Hyperlink"/>
    <w:basedOn w:val="29"/>
    <w:unhideWhenUsed/>
    <w:qFormat/>
    <w:uiPriority w:val="99"/>
    <w:rPr>
      <w:color w:val="0000FF"/>
      <w:u w:val="single"/>
    </w:rPr>
  </w:style>
  <w:style w:type="paragraph" w:styleId="32">
    <w:name w:val="List Paragraph"/>
    <w:basedOn w:val="1"/>
    <w:link w:val="63"/>
    <w:qFormat/>
    <w:uiPriority w:val="0"/>
    <w:pPr>
      <w:ind w:firstLine="420" w:firstLineChars="200"/>
    </w:pPr>
    <w:rPr>
      <w:kern w:val="0"/>
    </w:rPr>
  </w:style>
  <w:style w:type="paragraph" w:customStyle="1" w:styleId="33">
    <w:name w:val="正文 第一章"/>
    <w:basedOn w:val="1"/>
    <w:next w:val="34"/>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34">
    <w:name w:val="正文 1.1"/>
    <w:basedOn w:val="1"/>
    <w:next w:val="35"/>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35">
    <w:name w:val="正文 1.1.1"/>
    <w:basedOn w:val="1"/>
    <w:next w:val="1"/>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36">
    <w:name w:val="正文空4格  1）"/>
    <w:basedOn w:val="1"/>
    <w:qFormat/>
    <w:uiPriority w:val="0"/>
    <w:pPr>
      <w:adjustRightInd w:val="0"/>
      <w:spacing w:line="360" w:lineRule="auto"/>
      <w:ind w:firstLine="1120" w:firstLineChars="400"/>
      <w:textAlignment w:val="baseline"/>
    </w:pPr>
    <w:rPr>
      <w:rFonts w:ascii="宋体" w:eastAsia="仿宋" w:cs="宋体"/>
      <w:kern w:val="0"/>
    </w:rPr>
  </w:style>
  <w:style w:type="paragraph" w:customStyle="1" w:styleId="37">
    <w:name w:val="首行缩进"/>
    <w:basedOn w:val="1"/>
    <w:next w:val="1"/>
    <w:qFormat/>
    <w:uiPriority w:val="0"/>
    <w:pPr>
      <w:spacing w:line="360" w:lineRule="auto"/>
      <w:ind w:firstLine="200" w:firstLineChars="200"/>
    </w:pPr>
    <w:rPr>
      <w:rFonts w:ascii="Calibri" w:hAnsi="Calibri"/>
      <w:sz w:val="24"/>
      <w:szCs w:val="21"/>
    </w:rPr>
  </w:style>
  <w:style w:type="paragraph" w:customStyle="1" w:styleId="38">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正文空2格  1."/>
    <w:basedOn w:val="1"/>
    <w:qFormat/>
    <w:uiPriority w:val="0"/>
    <w:pPr>
      <w:adjustRightInd w:val="0"/>
      <w:spacing w:line="360" w:lineRule="auto"/>
      <w:ind w:firstLine="480" w:firstLineChars="200"/>
      <w:textAlignment w:val="baseline"/>
    </w:pPr>
    <w:rPr>
      <w:rFonts w:ascii="宋体" w:eastAsia="仿宋" w:cs="宋体"/>
      <w:kern w:val="0"/>
    </w:rPr>
  </w:style>
  <w:style w:type="paragraph" w:customStyle="1" w:styleId="40">
    <w:name w:val="第四级"/>
    <w:basedOn w:val="1"/>
    <w:next w:val="39"/>
    <w:qFormat/>
    <w:uiPriority w:val="0"/>
    <w:pPr>
      <w:numPr>
        <w:ilvl w:val="3"/>
        <w:numId w:val="1"/>
      </w:numPr>
      <w:adjustRightInd w:val="0"/>
      <w:spacing w:line="360" w:lineRule="auto"/>
      <w:textAlignment w:val="baseline"/>
    </w:pPr>
    <w:rPr>
      <w:rFonts w:ascii="宋体" w:hAnsi="宋体" w:eastAsia="仿宋"/>
      <w:kern w:val="0"/>
      <w:szCs w:val="21"/>
    </w:rPr>
  </w:style>
  <w:style w:type="paragraph" w:styleId="4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2">
    <w:name w:val="标题 2 New"/>
    <w:basedOn w:val="43"/>
    <w:next w:val="43"/>
    <w:qFormat/>
    <w:uiPriority w:val="0"/>
    <w:pPr>
      <w:keepNext/>
      <w:keepLines/>
      <w:spacing w:before="260" w:after="260" w:line="413" w:lineRule="auto"/>
      <w:outlineLvl w:val="1"/>
    </w:pPr>
    <w:rPr>
      <w:rFonts w:ascii="Arial" w:hAnsi="Arial" w:eastAsia="黑体"/>
      <w:b/>
      <w:bCs/>
      <w:sz w:val="32"/>
      <w:szCs w:val="32"/>
    </w:rPr>
  </w:style>
  <w:style w:type="paragraph" w:customStyle="1" w:styleId="4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正文_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6">
    <w:name w:val="Normal_0"/>
    <w:qFormat/>
    <w:uiPriority w:val="99"/>
    <w:rPr>
      <w:rFonts w:ascii="Calibri" w:hAnsi="Calibri" w:eastAsia="宋体" w:cs="Times New Roman"/>
      <w:sz w:val="24"/>
      <w:szCs w:val="24"/>
      <w:lang w:val="en-US" w:eastAsia="zh-CN" w:bidi="ar-SA"/>
    </w:rPr>
  </w:style>
  <w:style w:type="character" w:customStyle="1" w:styleId="47">
    <w:name w:val="正文文本缩进 Char"/>
    <w:link w:val="14"/>
    <w:qFormat/>
    <w:locked/>
    <w:uiPriority w:val="0"/>
    <w:rPr>
      <w:rFonts w:ascii="宋体" w:hAnsi="Courier New" w:eastAsia="宋体"/>
      <w:spacing w:val="-4"/>
      <w:sz w:val="18"/>
    </w:rPr>
  </w:style>
  <w:style w:type="character" w:customStyle="1" w:styleId="48">
    <w:name w:val="标题 1 Char"/>
    <w:basedOn w:val="29"/>
    <w:link w:val="5"/>
    <w:qFormat/>
    <w:uiPriority w:val="0"/>
    <w:rPr>
      <w:rFonts w:ascii="宋体" w:hAnsi="Arial" w:eastAsia="黑体" w:cs="Times New Roman"/>
      <w:b/>
      <w:bCs/>
      <w:color w:val="000000"/>
      <w:kern w:val="44"/>
      <w:sz w:val="36"/>
      <w:szCs w:val="32"/>
    </w:rPr>
  </w:style>
  <w:style w:type="character" w:customStyle="1" w:styleId="49">
    <w:name w:val="标题 2 Char"/>
    <w:basedOn w:val="29"/>
    <w:link w:val="6"/>
    <w:semiHidden/>
    <w:qFormat/>
    <w:uiPriority w:val="9"/>
    <w:rPr>
      <w:rFonts w:ascii="Cambria" w:hAnsi="Cambria" w:eastAsia="宋体" w:cs="Times New Roman"/>
      <w:b/>
      <w:bCs/>
      <w:sz w:val="32"/>
      <w:szCs w:val="32"/>
    </w:rPr>
  </w:style>
  <w:style w:type="character" w:customStyle="1" w:styleId="50">
    <w:name w:val="标题 3 Char1"/>
    <w:basedOn w:val="29"/>
    <w:link w:val="7"/>
    <w:semiHidden/>
    <w:qFormat/>
    <w:uiPriority w:val="9"/>
    <w:rPr>
      <w:rFonts w:ascii="Times New Roman" w:hAnsi="Times New Roman" w:eastAsia="宋体" w:cs="Times New Roman"/>
      <w:b/>
      <w:bCs/>
      <w:sz w:val="32"/>
      <w:szCs w:val="32"/>
    </w:rPr>
  </w:style>
  <w:style w:type="character" w:customStyle="1" w:styleId="51">
    <w:name w:val="标题 4 Char"/>
    <w:basedOn w:val="29"/>
    <w:link w:val="8"/>
    <w:semiHidden/>
    <w:qFormat/>
    <w:uiPriority w:val="9"/>
    <w:rPr>
      <w:rFonts w:ascii="Cambria" w:hAnsi="Cambria" w:eastAsia="宋体" w:cs="Times New Roman"/>
      <w:b/>
      <w:bCs/>
      <w:sz w:val="28"/>
      <w:szCs w:val="28"/>
    </w:rPr>
  </w:style>
  <w:style w:type="character" w:customStyle="1" w:styleId="52">
    <w:name w:val="标题 5 Char"/>
    <w:basedOn w:val="29"/>
    <w:link w:val="9"/>
    <w:semiHidden/>
    <w:qFormat/>
    <w:uiPriority w:val="9"/>
    <w:rPr>
      <w:rFonts w:ascii="Times New Roman" w:hAnsi="Times New Roman" w:eastAsia="宋体" w:cs="Times New Roman"/>
      <w:b/>
      <w:bCs/>
      <w:sz w:val="28"/>
      <w:szCs w:val="28"/>
    </w:rPr>
  </w:style>
  <w:style w:type="character" w:customStyle="1" w:styleId="53">
    <w:name w:val="标题 6 Char"/>
    <w:basedOn w:val="29"/>
    <w:link w:val="10"/>
    <w:semiHidden/>
    <w:qFormat/>
    <w:uiPriority w:val="9"/>
    <w:rPr>
      <w:rFonts w:ascii="Cambria" w:hAnsi="Cambria" w:eastAsia="宋体" w:cs="Times New Roman"/>
      <w:b/>
      <w:bCs/>
      <w:sz w:val="24"/>
      <w:szCs w:val="24"/>
    </w:rPr>
  </w:style>
  <w:style w:type="character" w:customStyle="1" w:styleId="54">
    <w:name w:val="标题 7 Char"/>
    <w:basedOn w:val="29"/>
    <w:link w:val="11"/>
    <w:semiHidden/>
    <w:qFormat/>
    <w:uiPriority w:val="9"/>
    <w:rPr>
      <w:rFonts w:ascii="Times New Roman" w:hAnsi="Times New Roman" w:eastAsia="宋体" w:cs="Times New Roman"/>
      <w:b/>
      <w:bCs/>
      <w:sz w:val="24"/>
      <w:szCs w:val="24"/>
    </w:rPr>
  </w:style>
  <w:style w:type="character" w:customStyle="1" w:styleId="55">
    <w:name w:val="纯文本 Char1"/>
    <w:link w:val="16"/>
    <w:qFormat/>
    <w:uiPriority w:val="0"/>
    <w:rPr>
      <w:rFonts w:ascii="宋体" w:hAnsi="Courier New" w:eastAsia="宋体"/>
      <w:sz w:val="24"/>
    </w:rPr>
  </w:style>
  <w:style w:type="character" w:customStyle="1" w:styleId="56">
    <w:name w:val="日期 Char"/>
    <w:basedOn w:val="29"/>
    <w:link w:val="17"/>
    <w:semiHidden/>
    <w:qFormat/>
    <w:uiPriority w:val="99"/>
    <w:rPr>
      <w:rFonts w:ascii="Times New Roman" w:hAnsi="Times New Roman" w:eastAsia="宋体" w:cs="Times New Roman"/>
      <w:sz w:val="28"/>
      <w:szCs w:val="20"/>
    </w:rPr>
  </w:style>
  <w:style w:type="character" w:customStyle="1" w:styleId="57">
    <w:name w:val="批注框文本 Char"/>
    <w:basedOn w:val="29"/>
    <w:link w:val="18"/>
    <w:semiHidden/>
    <w:qFormat/>
    <w:uiPriority w:val="99"/>
    <w:rPr>
      <w:rFonts w:ascii="Times New Roman" w:hAnsi="Times New Roman" w:eastAsia="宋体" w:cs="Times New Roman"/>
      <w:sz w:val="18"/>
      <w:szCs w:val="18"/>
    </w:rPr>
  </w:style>
  <w:style w:type="character" w:customStyle="1" w:styleId="58">
    <w:name w:val="页脚 Char"/>
    <w:basedOn w:val="29"/>
    <w:link w:val="19"/>
    <w:qFormat/>
    <w:uiPriority w:val="99"/>
    <w:rPr>
      <w:rFonts w:ascii="Times New Roman" w:hAnsi="Times New Roman" w:eastAsia="宋体" w:cs="Times New Roman"/>
      <w:sz w:val="18"/>
      <w:szCs w:val="18"/>
    </w:rPr>
  </w:style>
  <w:style w:type="character" w:customStyle="1" w:styleId="59">
    <w:name w:val="页眉 Char"/>
    <w:basedOn w:val="29"/>
    <w:link w:val="20"/>
    <w:semiHidden/>
    <w:qFormat/>
    <w:uiPriority w:val="99"/>
    <w:rPr>
      <w:rFonts w:ascii="Times New Roman" w:hAnsi="Times New Roman" w:eastAsia="宋体" w:cs="Times New Roman"/>
      <w:sz w:val="18"/>
      <w:szCs w:val="18"/>
    </w:rPr>
  </w:style>
  <w:style w:type="character" w:customStyle="1" w:styleId="60">
    <w:name w:val="标题 Char"/>
    <w:basedOn w:val="29"/>
    <w:link w:val="25"/>
    <w:qFormat/>
    <w:uiPriority w:val="10"/>
    <w:rPr>
      <w:rFonts w:ascii="Cambria" w:hAnsi="Cambria" w:eastAsia="宋体" w:cs="Times New Roman"/>
      <w:b/>
      <w:bCs/>
      <w:sz w:val="32"/>
      <w:szCs w:val="32"/>
    </w:rPr>
  </w:style>
  <w:style w:type="character" w:customStyle="1" w:styleId="61">
    <w:name w:val="正文文本缩进 Char1"/>
    <w:basedOn w:val="29"/>
    <w:semiHidden/>
    <w:qFormat/>
    <w:uiPriority w:val="99"/>
    <w:rPr>
      <w:rFonts w:ascii="Times New Roman" w:hAnsi="Times New Roman" w:eastAsia="宋体" w:cs="Times New Roman"/>
      <w:sz w:val="28"/>
      <w:szCs w:val="20"/>
    </w:rPr>
  </w:style>
  <w:style w:type="character" w:customStyle="1" w:styleId="62">
    <w:name w:val="纯文本 Char"/>
    <w:basedOn w:val="29"/>
    <w:semiHidden/>
    <w:qFormat/>
    <w:uiPriority w:val="99"/>
    <w:rPr>
      <w:rFonts w:ascii="宋体" w:hAnsi="Courier New" w:eastAsia="宋体" w:cs="Courier New"/>
      <w:szCs w:val="21"/>
    </w:rPr>
  </w:style>
  <w:style w:type="character" w:customStyle="1" w:styleId="63">
    <w:name w:val="列出段落 Char"/>
    <w:link w:val="32"/>
    <w:qFormat/>
    <w:locked/>
    <w:uiPriority w:val="0"/>
    <w:rPr>
      <w:rFonts w:ascii="Times New Roman" w:hAnsi="Times New Roman" w:eastAsia="宋体" w:cs="Times New Roman"/>
      <w:sz w:val="28"/>
      <w:szCs w:val="20"/>
    </w:rPr>
  </w:style>
  <w:style w:type="character" w:customStyle="1" w:styleId="64">
    <w:name w:val="正文 第五章 中间"/>
    <w:qFormat/>
    <w:uiPriority w:val="0"/>
    <w:rPr>
      <w:b/>
      <w:bCs/>
      <w:color w:val="000000"/>
      <w:sz w:val="32"/>
    </w:rPr>
  </w:style>
  <w:style w:type="character" w:customStyle="1" w:styleId="65">
    <w:name w:val="标题 3 Char"/>
    <w:qFormat/>
    <w:uiPriority w:val="0"/>
    <w:rPr>
      <w:rFonts w:eastAsia="宋体"/>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47</Pages>
  <Words>17727</Words>
  <Characters>18288</Characters>
  <Lines>158</Lines>
  <Paragraphs>44</Paragraphs>
  <TotalTime>89</TotalTime>
  <ScaleCrop>false</ScaleCrop>
  <LinksUpToDate>false</LinksUpToDate>
  <CharactersWithSpaces>21287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2019-05-31T00:58:00Z</dcterms:created>
  <dc:creator>20110004</dc:creator>
  <cp:lastModifiedBy>Cris~</cp:lastModifiedBy>
  <cp:lastPrinted>2019-06-10T01:13:00Z</cp:lastPrinted>
  <dcterms:modified xsi:type="dcterms:W3CDTF">2022-08-29T02:55:16Z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EC2D55065EE9410B8AC07D03BAF4E20B</vt:lpwstr>
  </property>
</Properties>
</file>