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napToGrid w:val="0"/>
          <w:sz w:val="30"/>
          <w:lang w:eastAsia="zh-CN"/>
        </w:rPr>
      </w:pPr>
      <w:r>
        <w:rPr>
          <w:rFonts w:hint="eastAsia" w:eastAsia="仿宋_GB2312"/>
          <w:snapToGrid w:val="0"/>
          <w:sz w:val="30"/>
        </w:rPr>
        <w:t>项目编号：WYGZ</w:t>
      </w:r>
      <w:r>
        <w:rPr>
          <w:rFonts w:hint="eastAsia" w:eastAsia="仿宋_GB2312"/>
          <w:snapToGrid w:val="0"/>
          <w:sz w:val="30"/>
          <w:lang w:eastAsia="zh-CN"/>
        </w:rPr>
        <w:t>2024055</w:t>
      </w: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r>
        <w:rPr>
          <w:rFonts w:ascii="仿宋_GB2312" w:eastAsia="仿宋_GB2312"/>
          <w:sz w:val="52"/>
          <w:szCs w:val="52"/>
        </w:rPr>
        <w:drawing>
          <wp:inline distT="0" distB="0" distL="114300" distR="114300">
            <wp:extent cx="3319145" cy="714375"/>
            <wp:effectExtent l="0" t="0" r="14605" b="9525"/>
            <wp:docPr id="6"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ocuments\Tencent Files\382851414\FileRecv\皖南医学院.jpg"/>
                    <pic:cNvPicPr>
                      <a:picLocks noChangeAspect="1"/>
                    </pic:cNvPicPr>
                  </pic:nvPicPr>
                  <pic:blipFill>
                    <a:blip r:embed="rId5"/>
                    <a:stretch>
                      <a:fillRect/>
                    </a:stretch>
                  </pic:blipFill>
                  <pic:spPr>
                    <a:xfrm>
                      <a:off x="0" y="0"/>
                      <a:ext cx="3319145" cy="714375"/>
                    </a:xfrm>
                    <a:prstGeom prst="rect">
                      <a:avLst/>
                    </a:prstGeom>
                    <a:noFill/>
                    <a:ln>
                      <a:noFill/>
                    </a:ln>
                  </pic:spPr>
                </pic:pic>
              </a:graphicData>
            </a:graphic>
          </wp:inline>
        </w:drawing>
      </w:r>
    </w:p>
    <w:p>
      <w:pPr>
        <w:jc w:val="center"/>
        <w:rPr>
          <w:rFonts w:ascii="华文中宋" w:hAnsi="华文中宋" w:eastAsia="华文中宋"/>
          <w:b/>
          <w:bCs/>
          <w:w w:val="90"/>
          <w:sz w:val="21"/>
          <w:szCs w:val="21"/>
        </w:rPr>
      </w:pPr>
    </w:p>
    <w:p>
      <w:pPr>
        <w:jc w:val="center"/>
        <w:rPr>
          <w:rFonts w:ascii="华文中宋" w:hAnsi="华文中宋" w:eastAsia="华文中宋"/>
          <w:b/>
          <w:bCs/>
          <w:sz w:val="52"/>
          <w:szCs w:val="52"/>
        </w:rPr>
      </w:pPr>
      <w:r>
        <w:rPr>
          <w:rFonts w:hint="eastAsia" w:ascii="华文中宋" w:hAnsi="华文中宋" w:eastAsia="华文中宋"/>
          <w:b/>
          <w:bCs/>
          <w:sz w:val="52"/>
          <w:szCs w:val="52"/>
          <w:lang w:eastAsia="zh-CN"/>
        </w:rPr>
        <w:t>网站内容管理系统购置项目</w:t>
      </w:r>
      <w:r>
        <w:rPr>
          <w:rFonts w:hint="eastAsia" w:ascii="华文中宋" w:hAnsi="华文中宋" w:eastAsia="华文中宋"/>
          <w:b/>
          <w:bCs/>
          <w:sz w:val="52"/>
          <w:szCs w:val="52"/>
        </w:rPr>
        <w:t>磋商文件</w:t>
      </w:r>
    </w:p>
    <w:p>
      <w:pPr>
        <w:ind w:firstLine="480" w:firstLineChars="100"/>
        <w:rPr>
          <w:rFonts w:ascii="仿宋_GB2312" w:eastAsia="仿宋_GB2312"/>
          <w:sz w:val="48"/>
          <w:szCs w:val="48"/>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jc w:val="center"/>
        <w:rPr>
          <w:rFonts w:ascii="仿宋_GB2312" w:eastAsia="仿宋_GB2312"/>
          <w:b/>
          <w:sz w:val="36"/>
          <w:szCs w:val="36"/>
        </w:rPr>
      </w:pPr>
      <w:r>
        <w:rPr>
          <w:rFonts w:hint="eastAsia" w:ascii="仿宋_GB2312" w:eastAsia="仿宋_GB2312"/>
          <w:b/>
          <w:sz w:val="36"/>
          <w:szCs w:val="36"/>
        </w:rPr>
        <w:t>皖南医学院国有资产管理处</w:t>
      </w:r>
    </w:p>
    <w:p>
      <w:pPr>
        <w:adjustRightInd w:val="0"/>
        <w:snapToGrid w:val="0"/>
        <w:jc w:val="center"/>
        <w:rPr>
          <w:rFonts w:hint="eastAsia" w:ascii="仿宋_GB2312" w:hAnsi="仿宋_GB2312" w:eastAsia="仿宋_GB2312" w:cs="仿宋_GB2312"/>
          <w:b/>
          <w:sz w:val="36"/>
          <w:szCs w:val="36"/>
          <w:lang w:eastAsia="zh-CN"/>
        </w:rPr>
      </w:pPr>
      <w:r>
        <w:rPr>
          <w:rFonts w:hint="eastAsia" w:ascii="仿宋_GB2312" w:eastAsia="仿宋_GB2312"/>
          <w:b/>
          <w:sz w:val="36"/>
          <w:szCs w:val="36"/>
          <w:lang w:eastAsia="zh-CN"/>
        </w:rPr>
        <w:t>2024年</w:t>
      </w:r>
      <w:r>
        <w:rPr>
          <w:rFonts w:hint="eastAsia" w:ascii="仿宋_GB2312" w:eastAsia="仿宋_GB2312"/>
          <w:b/>
          <w:sz w:val="36"/>
          <w:szCs w:val="36"/>
          <w:lang w:val="en-US" w:eastAsia="zh-CN"/>
        </w:rPr>
        <w:t>5</w:t>
      </w:r>
      <w:r>
        <w:rPr>
          <w:rFonts w:hint="eastAsia" w:ascii="仿宋_GB2312" w:eastAsia="仿宋_GB2312"/>
          <w:b/>
          <w:sz w:val="36"/>
          <w:szCs w:val="36"/>
          <w:lang w:eastAsia="zh-CN"/>
        </w:rPr>
        <w:t>月</w:t>
      </w:r>
    </w:p>
    <w:p>
      <w:pPr>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adjustRightInd w:val="0"/>
        <w:snapToGrid w:val="0"/>
        <w:jc w:val="center"/>
        <w:rPr>
          <w:rFonts w:ascii="仿宋_GB2312" w:hAnsi="仿宋_GB2312" w:eastAsia="仿宋_GB2312" w:cs="仿宋_GB2312"/>
          <w:b/>
          <w:sz w:val="36"/>
          <w:szCs w:val="36"/>
        </w:rPr>
      </w:pPr>
    </w:p>
    <w:p>
      <w:pPr>
        <w:pStyle w:val="20"/>
      </w:pPr>
      <w:r>
        <w:rPr>
          <w:rFonts w:hint="eastAsia"/>
        </w:rPr>
        <w:t>目  录</w:t>
      </w:r>
    </w:p>
    <w:p>
      <w:pPr>
        <w:pStyle w:val="20"/>
      </w:pPr>
    </w:p>
    <w:p>
      <w:pPr>
        <w:pStyle w:val="20"/>
        <w:rPr>
          <w:rFonts w:ascii="Calibri" w:hAnsi="Calibri" w:eastAsia="宋体"/>
          <w:b w:val="0"/>
          <w:sz w:val="21"/>
          <w:szCs w:val="22"/>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TOC \o "1-2" \h \z \u </w:instrText>
      </w:r>
      <w:r>
        <w:rPr>
          <w:rFonts w:hint="eastAsia" w:ascii="仿宋_GB2312" w:hAnsi="仿宋_GB2312" w:eastAsia="仿宋_GB2312" w:cs="仿宋_GB2312"/>
          <w:sz w:val="30"/>
          <w:szCs w:val="30"/>
        </w:rPr>
        <w:fldChar w:fldCharType="separate"/>
      </w:r>
      <w:r>
        <w:fldChar w:fldCharType="begin"/>
      </w:r>
      <w:r>
        <w:instrText xml:space="preserve"> HYPERLINK \l "_Toc49762999" </w:instrText>
      </w:r>
      <w:r>
        <w:fldChar w:fldCharType="separate"/>
      </w:r>
      <w:r>
        <w:rPr>
          <w:rStyle w:val="32"/>
          <w:rFonts w:hint="eastAsia"/>
        </w:rPr>
        <w:t>第一章</w:t>
      </w:r>
      <w:r>
        <w:rPr>
          <w:rStyle w:val="32"/>
        </w:rPr>
        <w:t xml:space="preserve">  </w:t>
      </w:r>
      <w:r>
        <w:rPr>
          <w:rStyle w:val="32"/>
          <w:rFonts w:hint="eastAsia"/>
        </w:rPr>
        <w:t>磋商公告</w:t>
      </w:r>
      <w:r>
        <w:tab/>
      </w:r>
      <w:r>
        <w:fldChar w:fldCharType="begin"/>
      </w:r>
      <w:r>
        <w:instrText xml:space="preserve"> PAGEREF _Toc49762999 \h </w:instrText>
      </w:r>
      <w:r>
        <w:fldChar w:fldCharType="separate"/>
      </w:r>
      <w:r>
        <w:t>1</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"_Toc49763000" </w:instrText>
      </w:r>
      <w:r>
        <w:fldChar w:fldCharType="separate"/>
      </w:r>
      <w:r>
        <w:rPr>
          <w:rStyle w:val="32"/>
          <w:rFonts w:hint="eastAsia"/>
        </w:rPr>
        <w:t>第二章</w:t>
      </w:r>
      <w:r>
        <w:rPr>
          <w:rStyle w:val="32"/>
        </w:rPr>
        <w:t xml:space="preserve">  </w:t>
      </w:r>
      <w:r>
        <w:rPr>
          <w:rStyle w:val="32"/>
          <w:rFonts w:hint="eastAsia"/>
        </w:rPr>
        <w:t>磋商须知前附表</w:t>
      </w:r>
      <w:r>
        <w:tab/>
      </w:r>
      <w:r>
        <w:fldChar w:fldCharType="begin"/>
      </w:r>
      <w:r>
        <w:instrText xml:space="preserve"> PAGEREF _Toc49763000 \h </w:instrText>
      </w:r>
      <w:r>
        <w:fldChar w:fldCharType="separate"/>
      </w:r>
      <w:r>
        <w:t>3</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"_Toc49763001" </w:instrText>
      </w:r>
      <w:r>
        <w:fldChar w:fldCharType="separate"/>
      </w:r>
      <w:r>
        <w:rPr>
          <w:rStyle w:val="32"/>
          <w:rFonts w:hint="eastAsia"/>
        </w:rPr>
        <w:t>第三章</w:t>
      </w:r>
      <w:r>
        <w:rPr>
          <w:rStyle w:val="32"/>
        </w:rPr>
        <w:t xml:space="preserve">  </w:t>
      </w:r>
      <w:r>
        <w:rPr>
          <w:rStyle w:val="32"/>
          <w:rFonts w:hint="eastAsia"/>
        </w:rPr>
        <w:t>磋商须知</w:t>
      </w:r>
      <w:r>
        <w:tab/>
      </w:r>
      <w:r>
        <w:fldChar w:fldCharType="begin"/>
      </w:r>
      <w:r>
        <w:instrText xml:space="preserve"> PAGEREF _Toc49763001 \h </w:instrText>
      </w:r>
      <w:r>
        <w:fldChar w:fldCharType="separate"/>
      </w:r>
      <w:r>
        <w:t>4</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"_Toc49763002" </w:instrText>
      </w:r>
      <w:r>
        <w:fldChar w:fldCharType="separate"/>
      </w:r>
      <w:r>
        <w:rPr>
          <w:rStyle w:val="32"/>
          <w:rFonts w:hint="eastAsia"/>
        </w:rPr>
        <w:t>第四章</w:t>
      </w:r>
      <w:r>
        <w:rPr>
          <w:rStyle w:val="32"/>
        </w:rPr>
        <w:t xml:space="preserve">  </w:t>
      </w:r>
      <w:r>
        <w:rPr>
          <w:rStyle w:val="32"/>
          <w:rFonts w:hint="eastAsia"/>
        </w:rPr>
        <w:t>合同主要条款</w:t>
      </w:r>
      <w:r>
        <w:tab/>
      </w:r>
      <w:r>
        <w:fldChar w:fldCharType="begin"/>
      </w:r>
      <w:r>
        <w:instrText xml:space="preserve"> PAGEREF _Toc49763002 \h </w:instrText>
      </w:r>
      <w:r>
        <w:fldChar w:fldCharType="separate"/>
      </w:r>
      <w:r>
        <w:t>11</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"_Toc49763003" </w:instrText>
      </w:r>
      <w:r>
        <w:fldChar w:fldCharType="separate"/>
      </w:r>
      <w:r>
        <w:rPr>
          <w:rStyle w:val="32"/>
          <w:rFonts w:hint="eastAsia"/>
        </w:rPr>
        <w:t>第五章</w:t>
      </w:r>
      <w:r>
        <w:rPr>
          <w:rStyle w:val="32"/>
        </w:rPr>
        <w:t xml:space="preserve">  </w:t>
      </w:r>
      <w:r>
        <w:rPr>
          <w:rStyle w:val="32"/>
          <w:rFonts w:hint="eastAsia"/>
        </w:rPr>
        <w:t>项目需求</w:t>
      </w:r>
      <w:r>
        <w:tab/>
      </w:r>
      <w:r>
        <w:fldChar w:fldCharType="begin"/>
      </w:r>
      <w:r>
        <w:instrText xml:space="preserve"> PAGEREF _Toc49763003 \h </w:instrText>
      </w:r>
      <w:r>
        <w:fldChar w:fldCharType="separate"/>
      </w:r>
      <w:r>
        <w:t>14</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"_Toc49763004" </w:instrText>
      </w:r>
      <w:r>
        <w:fldChar w:fldCharType="separate"/>
      </w:r>
      <w:r>
        <w:rPr>
          <w:rStyle w:val="32"/>
          <w:rFonts w:hint="eastAsia"/>
        </w:rPr>
        <w:t>第六章</w:t>
      </w:r>
      <w:r>
        <w:rPr>
          <w:rStyle w:val="32"/>
        </w:rPr>
        <w:t xml:space="preserve">  </w:t>
      </w:r>
      <w:r>
        <w:rPr>
          <w:rStyle w:val="32"/>
          <w:rFonts w:hint="eastAsia"/>
        </w:rPr>
        <w:t>评分办法和评分细则</w:t>
      </w:r>
      <w:r>
        <w:tab/>
      </w:r>
      <w:r>
        <w:fldChar w:fldCharType="begin"/>
      </w:r>
      <w:r>
        <w:instrText xml:space="preserve"> PAGEREF _Toc49763004 \h </w:instrText>
      </w:r>
      <w:r>
        <w:fldChar w:fldCharType="separate"/>
      </w:r>
      <w:r>
        <w:t>15</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"_Toc49763005" </w:instrText>
      </w:r>
      <w:r>
        <w:fldChar w:fldCharType="separate"/>
      </w:r>
      <w:r>
        <w:rPr>
          <w:rStyle w:val="32"/>
          <w:rFonts w:hint="eastAsia"/>
        </w:rPr>
        <w:t>第七章</w:t>
      </w:r>
      <w:r>
        <w:rPr>
          <w:rStyle w:val="32"/>
        </w:rPr>
        <w:t xml:space="preserve">  </w:t>
      </w:r>
      <w:r>
        <w:rPr>
          <w:rStyle w:val="32"/>
          <w:rFonts w:hint="eastAsia"/>
        </w:rPr>
        <w:t>响应文件格式</w:t>
      </w:r>
      <w:r>
        <w:tab/>
      </w:r>
      <w:r>
        <w:fldChar w:fldCharType="begin"/>
      </w:r>
      <w:r>
        <w:instrText xml:space="preserve"> PAGEREF _Toc49763005 \h </w:instrText>
      </w:r>
      <w:r>
        <w:fldChar w:fldCharType="separate"/>
      </w:r>
      <w:r>
        <w:t>17</w:t>
      </w:r>
      <w:r>
        <w:fldChar w:fldCharType="end"/>
      </w:r>
      <w:r>
        <w:fldChar w:fldCharType="end"/>
      </w:r>
    </w:p>
    <w:p>
      <w:pPr>
        <w:adjustRightInd w:val="0"/>
        <w:snapToGrid w:val="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fldChar w:fldCharType="end"/>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800" w:header="851" w:footer="992" w:gutter="0"/>
          <w:cols w:space="720" w:num="1"/>
          <w:docGrid w:type="lines" w:linePitch="312" w:charSpace="0"/>
        </w:sectPr>
      </w:pPr>
    </w:p>
    <w:p>
      <w:pPr>
        <w:pStyle w:val="2"/>
        <w:ind w:firstLine="1446" w:firstLineChars="400"/>
        <w:rPr>
          <w:rFonts w:ascii="华文中宋" w:hAnsi="华文中宋" w:eastAsia="华文中宋"/>
          <w:color w:val="auto"/>
          <w:szCs w:val="21"/>
        </w:rPr>
      </w:pPr>
      <w:bookmarkStart w:id="0" w:name="_Toc49762999"/>
      <w:r>
        <w:rPr>
          <w:rFonts w:hint="eastAsia" w:ascii="华文中宋" w:hAnsi="华文中宋" w:eastAsia="华文中宋"/>
          <w:color w:val="auto"/>
          <w:szCs w:val="21"/>
        </w:rPr>
        <w:t>第一章  磋商公告</w:t>
      </w:r>
      <w:bookmarkEnd w:id="0"/>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我校</w:t>
      </w:r>
      <w:r>
        <w:rPr>
          <w:rFonts w:hint="eastAsia" w:ascii="仿宋_GB2312" w:eastAsia="仿宋_GB2312" w:cs="宋体"/>
          <w:sz w:val="24"/>
          <w:szCs w:val="24"/>
          <w:lang w:eastAsia="zh-CN"/>
        </w:rPr>
        <w:t>皖南医学院网站内容管理系统购置项目</w:t>
      </w:r>
      <w:r>
        <w:rPr>
          <w:rFonts w:ascii="仿宋_GB2312" w:eastAsia="仿宋_GB2312" w:cs="宋体"/>
          <w:sz w:val="24"/>
          <w:szCs w:val="24"/>
        </w:rPr>
        <w:t>采取磋商的方式进行采购，现邀请符合资质条件的供应商参加投标和磋商。具体情况如下：</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一、项目概况：</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rPr>
      </w:pPr>
      <w:r>
        <w:rPr>
          <w:rFonts w:ascii="仿宋_GB2312" w:eastAsia="仿宋_GB2312" w:cs="宋体"/>
          <w:sz w:val="24"/>
          <w:szCs w:val="24"/>
        </w:rPr>
        <w:t>（一）项目名称：</w:t>
      </w:r>
      <w:r>
        <w:rPr>
          <w:rFonts w:hint="eastAsia" w:ascii="仿宋_GB2312" w:eastAsia="仿宋_GB2312" w:cs="宋体"/>
          <w:sz w:val="24"/>
          <w:szCs w:val="24"/>
          <w:lang w:eastAsia="zh-CN"/>
        </w:rPr>
        <w:t>皖南医学院网站内容管理系统购置项目</w:t>
      </w:r>
      <w:r>
        <w:rPr>
          <w:rFonts w:ascii="仿宋_GB2312" w:eastAsia="仿宋_GB2312" w:cs="宋体"/>
          <w:sz w:val="24"/>
          <w:szCs w:val="24"/>
        </w:rPr>
        <w:t>；</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（二）项目编号：</w:t>
      </w:r>
      <w:r>
        <w:rPr>
          <w:rFonts w:hint="eastAsia" w:ascii="仿宋_GB2312" w:eastAsia="仿宋_GB2312" w:cs="宋体"/>
          <w:sz w:val="24"/>
          <w:szCs w:val="24"/>
        </w:rPr>
        <w:t>WYGZ</w:t>
      </w:r>
      <w:r>
        <w:rPr>
          <w:rFonts w:hint="eastAsia" w:ascii="仿宋_GB2312" w:eastAsia="仿宋_GB2312" w:cs="宋体"/>
          <w:sz w:val="24"/>
          <w:szCs w:val="24"/>
          <w:lang w:eastAsia="zh-CN"/>
        </w:rPr>
        <w:t>2024055</w:t>
      </w:r>
      <w:r>
        <w:rPr>
          <w:rFonts w:ascii="仿宋_GB2312" w:eastAsia="仿宋_GB2312" w:cs="宋体"/>
          <w:sz w:val="24"/>
          <w:szCs w:val="24"/>
        </w:rPr>
        <w:t>;</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（三）项目内容：为我校提供网站内容管理系统</w:t>
      </w:r>
      <w:r>
        <w:rPr>
          <w:rFonts w:hint="eastAsia" w:ascii="仿宋_GB2312" w:eastAsia="仿宋_GB2312" w:cs="宋体"/>
          <w:sz w:val="24"/>
          <w:szCs w:val="24"/>
          <w:lang w:val="zh-CN" w:eastAsia="zh-CN"/>
        </w:rPr>
        <w:t>。</w:t>
      </w:r>
      <w:r>
        <w:rPr>
          <w:rFonts w:hint="eastAsia" w:ascii="仿宋_GB2312" w:eastAsia="仿宋_GB2312" w:cs="宋体"/>
          <w:sz w:val="24"/>
          <w:szCs w:val="24"/>
          <w:lang w:val="en-US" w:eastAsia="zh-CN"/>
        </w:rPr>
        <w:t>详见磋商文件。</w:t>
      </w:r>
    </w:p>
    <w:p>
      <w:pPr>
        <w:pStyle w:val="45"/>
        <w:autoSpaceDN w:val="0"/>
        <w:spacing w:line="360" w:lineRule="auto"/>
        <w:ind w:firstLine="480" w:firstLineChars="200"/>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（四）项目预算：48万元</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二、投标资质：</w:t>
      </w:r>
    </w:p>
    <w:p>
      <w:pPr>
        <w:adjustRightInd w:val="0"/>
        <w:snapToGrid w:val="0"/>
        <w:spacing w:line="360" w:lineRule="auto"/>
        <w:ind w:firstLine="453" w:firstLineChars="189"/>
        <w:rPr>
          <w:rFonts w:ascii="仿宋_GB2312" w:hAnsi="宋体" w:eastAsia="仿宋_GB2312" w:cs="宋体"/>
          <w:kern w:val="0"/>
          <w:sz w:val="24"/>
          <w:szCs w:val="24"/>
        </w:rPr>
      </w:pPr>
      <w:r>
        <w:rPr>
          <w:rFonts w:hint="eastAsia" w:ascii="仿宋_GB2312" w:hAnsi="宋体" w:eastAsia="仿宋_GB2312" w:cs="宋体"/>
          <w:kern w:val="0"/>
          <w:sz w:val="24"/>
          <w:szCs w:val="24"/>
        </w:rPr>
        <w:t>1.</w:t>
      </w:r>
      <w:r>
        <w:rPr>
          <w:rFonts w:ascii="仿宋_GB2312" w:hAnsi="宋体" w:eastAsia="仿宋_GB2312" w:cs="宋体"/>
          <w:kern w:val="0"/>
          <w:sz w:val="24"/>
          <w:szCs w:val="24"/>
        </w:rPr>
        <w:t>供应商能够独立承担民事责任能力；</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2.具有良好的商业信誉和健全的财务会计制度；</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3.具有履行合同所必需的设备和专业技术能力；</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4.有依法缴纳税收和社会保障资金的良好记录；</w:t>
      </w:r>
    </w:p>
    <w:p>
      <w:pPr>
        <w:adjustRightInd w:val="0"/>
        <w:snapToGrid w:val="0"/>
        <w:spacing w:line="360" w:lineRule="auto"/>
        <w:ind w:firstLine="453" w:firstLineChars="189"/>
        <w:rPr>
          <w:rFonts w:ascii="仿宋_GB2312" w:hAnsi="宋体" w:eastAsia="仿宋_GB2312" w:cs="宋体"/>
          <w:b/>
          <w:bCs/>
          <w:kern w:val="0"/>
          <w:sz w:val="24"/>
          <w:szCs w:val="24"/>
        </w:rPr>
      </w:pPr>
      <w:r>
        <w:rPr>
          <w:rFonts w:ascii="仿宋_GB2312" w:hAnsi="宋体" w:eastAsia="仿宋_GB2312" w:cs="宋体"/>
          <w:kern w:val="0"/>
          <w:sz w:val="24"/>
          <w:szCs w:val="24"/>
        </w:rPr>
        <w:t>5.三年内，在经营活动中没有重大违法记录；</w:t>
      </w:r>
    </w:p>
    <w:p>
      <w:pPr>
        <w:adjustRightInd w:val="0"/>
        <w:snapToGrid w:val="0"/>
        <w:spacing w:line="360" w:lineRule="auto"/>
        <w:ind w:firstLine="453" w:firstLineChars="189"/>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en-US" w:eastAsia="zh-CN"/>
        </w:rPr>
        <w:t>6</w:t>
      </w:r>
      <w:r>
        <w:rPr>
          <w:rFonts w:ascii="仿宋_GB2312" w:hAnsi="宋体" w:eastAsia="仿宋_GB2312" w:cs="宋体"/>
          <w:kern w:val="0"/>
          <w:sz w:val="24"/>
          <w:szCs w:val="24"/>
        </w:rPr>
        <w:t>.本项目不接受联合体投标。</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三、</w:t>
      </w:r>
      <w:r>
        <w:rPr>
          <w:rFonts w:hint="eastAsia" w:ascii="仿宋_GB2312" w:eastAsia="仿宋_GB2312" w:cs="宋体"/>
          <w:sz w:val="24"/>
          <w:szCs w:val="24"/>
          <w:lang w:eastAsia="zh-CN"/>
        </w:rPr>
        <w:t>获取文件</w:t>
      </w:r>
      <w:r>
        <w:rPr>
          <w:rFonts w:ascii="仿宋_GB2312" w:eastAsia="仿宋_GB2312" w:cs="宋体"/>
          <w:sz w:val="24"/>
          <w:szCs w:val="24"/>
        </w:rPr>
        <w:t>时间及方式：</w:t>
      </w:r>
    </w:p>
    <w:p>
      <w:pPr>
        <w:pStyle w:val="24"/>
        <w:adjustRightInd w:val="0"/>
        <w:snapToGrid w:val="0"/>
        <w:spacing w:before="0" w:beforeAutospacing="0" w:after="0" w:afterAutospacing="0" w:line="360" w:lineRule="auto"/>
        <w:ind w:firstLine="480" w:firstLineChars="200"/>
        <w:jc w:val="both"/>
        <w:rPr>
          <w:rFonts w:hint="eastAsia" w:ascii="仿宋_GB2312" w:hAnsi="宋体" w:eastAsia="仿宋_GB2312" w:cs="宋体"/>
          <w:kern w:val="0"/>
          <w:sz w:val="24"/>
          <w:szCs w:val="24"/>
          <w:lang w:val="zh-CN" w:eastAsia="zh-CN" w:bidi="ar-SA"/>
        </w:rPr>
      </w:pPr>
      <w:r>
        <w:rPr>
          <w:rFonts w:ascii="仿宋_GB2312" w:eastAsia="仿宋_GB2312" w:cs="宋体"/>
          <w:sz w:val="24"/>
          <w:szCs w:val="24"/>
        </w:rPr>
        <w:t>（一）</w:t>
      </w:r>
      <w:r>
        <w:rPr>
          <w:rFonts w:hint="eastAsia" w:ascii="仿宋_GB2312" w:eastAsia="仿宋_GB2312" w:cs="宋体"/>
          <w:sz w:val="24"/>
          <w:szCs w:val="24"/>
          <w:lang w:eastAsia="zh-CN"/>
        </w:rPr>
        <w:t>获取文件</w:t>
      </w:r>
      <w:r>
        <w:rPr>
          <w:rFonts w:ascii="仿宋_GB2312" w:eastAsia="仿宋_GB2312" w:cs="宋体"/>
          <w:sz w:val="24"/>
          <w:szCs w:val="24"/>
          <w:highlight w:val="none"/>
        </w:rPr>
        <w:t>时间：</w:t>
      </w:r>
      <w:r>
        <w:rPr>
          <w:rFonts w:hint="eastAsia" w:ascii="仿宋_GB2312" w:eastAsia="仿宋_GB2312" w:cs="宋体"/>
          <w:kern w:val="0"/>
          <w:sz w:val="24"/>
          <w:szCs w:val="24"/>
          <w:highlight w:val="none"/>
          <w:lang w:val="en-US" w:eastAsia="zh-CN" w:bidi="ar-SA"/>
        </w:rPr>
        <w:t>2024年5月9日</w:t>
      </w:r>
      <w:r>
        <w:rPr>
          <w:rFonts w:hint="eastAsia" w:ascii="仿宋_GB2312" w:hAnsi="宋体" w:eastAsia="仿宋_GB2312" w:cs="宋体"/>
          <w:kern w:val="0"/>
          <w:sz w:val="24"/>
          <w:szCs w:val="24"/>
          <w:highlight w:val="none"/>
          <w:lang w:val="en-US" w:eastAsia="zh-CN" w:bidi="ar-SA"/>
        </w:rPr>
        <w:t>-</w:t>
      </w:r>
      <w:r>
        <w:rPr>
          <w:rFonts w:hint="eastAsia" w:ascii="仿宋_GB2312" w:eastAsia="仿宋_GB2312" w:cs="宋体"/>
          <w:kern w:val="0"/>
          <w:sz w:val="24"/>
          <w:szCs w:val="24"/>
          <w:highlight w:val="none"/>
          <w:lang w:val="en-US" w:eastAsia="zh-CN" w:bidi="ar-SA"/>
        </w:rPr>
        <w:t>2024年5月21</w:t>
      </w:r>
      <w:r>
        <w:rPr>
          <w:rFonts w:hint="eastAsia" w:ascii="仿宋_GB2312" w:hAnsi="宋体" w:eastAsia="仿宋_GB2312" w:cs="宋体"/>
          <w:kern w:val="0"/>
          <w:sz w:val="24"/>
          <w:szCs w:val="24"/>
          <w:highlight w:val="none"/>
          <w:lang w:val="en-US" w:eastAsia="zh-CN" w:bidi="ar-SA"/>
        </w:rPr>
        <w:t>日</w:t>
      </w:r>
      <w:r>
        <w:rPr>
          <w:rFonts w:hint="eastAsia" w:ascii="仿宋_GB2312" w:eastAsia="仿宋_GB2312" w:cs="宋体"/>
          <w:kern w:val="0"/>
          <w:sz w:val="24"/>
          <w:szCs w:val="24"/>
          <w:highlight w:val="none"/>
          <w:lang w:val="en-US" w:eastAsia="zh-CN" w:bidi="ar-SA"/>
        </w:rPr>
        <w:t>上午9：00</w:t>
      </w:r>
      <w:r>
        <w:rPr>
          <w:rFonts w:hint="eastAsia" w:ascii="仿宋_GB2312" w:hAnsi="宋体" w:eastAsia="仿宋_GB2312" w:cs="宋体"/>
          <w:kern w:val="0"/>
          <w:sz w:val="24"/>
          <w:szCs w:val="24"/>
          <w:highlight w:val="none"/>
          <w:lang w:val="en-US" w:eastAsia="zh-CN" w:bidi="ar-SA"/>
        </w:rPr>
        <w:t>；</w:t>
      </w:r>
    </w:p>
    <w:p>
      <w:pPr>
        <w:widowControl/>
        <w:shd w:val="clear" w:color="auto" w:fill="FFFFFF"/>
        <w:spacing w:line="360" w:lineRule="auto"/>
        <w:ind w:firstLine="480" w:firstLineChars="200"/>
        <w:rPr>
          <w:rFonts w:ascii="仿宋_GB2312" w:hAnsi="宋体" w:eastAsia="仿宋_GB2312" w:cs="宋体"/>
          <w:kern w:val="0"/>
          <w:sz w:val="24"/>
          <w:szCs w:val="24"/>
          <w:lang w:val="zh-CN"/>
        </w:rPr>
      </w:pPr>
      <w:r>
        <w:rPr>
          <w:rFonts w:hint="eastAsia" w:ascii="仿宋_GB2312" w:eastAsia="仿宋_GB2312" w:cs="宋体"/>
          <w:sz w:val="24"/>
          <w:szCs w:val="24"/>
          <w:lang w:val="zh-CN"/>
        </w:rPr>
        <w:t>（二）</w:t>
      </w:r>
      <w:r>
        <w:rPr>
          <w:rFonts w:hint="eastAsia" w:ascii="仿宋_GB2312" w:hAnsi="宋体" w:eastAsia="仿宋_GB2312" w:cs="宋体"/>
          <w:kern w:val="0"/>
          <w:sz w:val="24"/>
          <w:szCs w:val="24"/>
          <w:lang w:val="zh-CN"/>
        </w:rPr>
        <w:t>获取方式：</w:t>
      </w:r>
      <w:r>
        <w:rPr>
          <w:rFonts w:hint="eastAsia" w:ascii="仿宋_GB2312" w:eastAsia="仿宋_GB2312" w:cs="宋体"/>
          <w:sz w:val="24"/>
          <w:szCs w:val="24"/>
          <w:lang w:eastAsia="zh-CN"/>
        </w:rPr>
        <w:t>皖南医学院网站内容管理系统购置项目</w:t>
      </w:r>
      <w:r>
        <w:rPr>
          <w:rFonts w:ascii="仿宋_GB2312" w:hAnsi="宋体" w:eastAsia="仿宋_GB2312" w:cs="宋体"/>
          <w:kern w:val="0"/>
          <w:sz w:val="24"/>
          <w:szCs w:val="24"/>
        </w:rPr>
        <w:t>（项目编号：</w:t>
      </w:r>
      <w:r>
        <w:rPr>
          <w:rFonts w:hint="eastAsia" w:ascii="仿宋_GB2312" w:hAnsi="宋体" w:eastAsia="仿宋_GB2312" w:cs="宋体"/>
          <w:kern w:val="0"/>
          <w:sz w:val="24"/>
          <w:szCs w:val="24"/>
        </w:rPr>
        <w:t>WYGZ</w:t>
      </w:r>
      <w:r>
        <w:rPr>
          <w:rFonts w:hint="eastAsia" w:ascii="仿宋_GB2312" w:hAnsi="宋体" w:eastAsia="仿宋_GB2312" w:cs="宋体"/>
          <w:kern w:val="0"/>
          <w:sz w:val="24"/>
          <w:szCs w:val="24"/>
          <w:lang w:eastAsia="zh-CN"/>
        </w:rPr>
        <w:t>2024055</w:t>
      </w:r>
      <w:r>
        <w:rPr>
          <w:rFonts w:ascii="仿宋_GB2312" w:hAnsi="宋体" w:eastAsia="仿宋_GB2312" w:cs="宋体"/>
          <w:kern w:val="0"/>
          <w:sz w:val="24"/>
          <w:szCs w:val="24"/>
        </w:rPr>
        <w:t>）已在皖南医学院</w:t>
      </w:r>
      <w:r>
        <w:rPr>
          <w:rFonts w:hint="eastAsia" w:ascii="仿宋_GB2312" w:hAnsi="宋体" w:eastAsia="仿宋_GB2312" w:cs="宋体"/>
          <w:kern w:val="0"/>
          <w:sz w:val="24"/>
          <w:szCs w:val="24"/>
          <w:lang w:eastAsia="zh-CN"/>
        </w:rPr>
        <w:t>国资处</w:t>
      </w:r>
      <w:r>
        <w:rPr>
          <w:rFonts w:ascii="仿宋_GB2312" w:hAnsi="宋体" w:eastAsia="仿宋_GB2312" w:cs="宋体"/>
          <w:kern w:val="0"/>
          <w:sz w:val="24"/>
          <w:szCs w:val="24"/>
        </w:rPr>
        <w:t>（</w:t>
      </w:r>
      <w:r>
        <w:rPr>
          <w:rFonts w:hint="eastAsia" w:ascii="仿宋_GB2312" w:hAnsi="宋体" w:eastAsia="仿宋_GB2312" w:cs="宋体"/>
          <w:kern w:val="0"/>
          <w:sz w:val="24"/>
          <w:szCs w:val="24"/>
        </w:rPr>
        <w:t>https://gzc.wnmc.edu.cn/</w:t>
      </w:r>
      <w:r>
        <w:rPr>
          <w:rFonts w:ascii="仿宋_GB2312" w:hAnsi="宋体" w:eastAsia="仿宋_GB2312" w:cs="宋体"/>
          <w:kern w:val="0"/>
          <w:sz w:val="24"/>
          <w:szCs w:val="24"/>
        </w:rPr>
        <w:t>）发布</w:t>
      </w:r>
      <w:r>
        <w:rPr>
          <w:rFonts w:hint="eastAsia" w:ascii="仿宋_GB2312" w:hAnsi="宋体" w:eastAsia="仿宋_GB2312" w:cs="宋体"/>
          <w:kern w:val="0"/>
          <w:sz w:val="24"/>
          <w:szCs w:val="24"/>
          <w:lang w:val="zh-CN"/>
        </w:rPr>
        <w:t>；</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hint="eastAsia" w:ascii="仿宋_GB2312" w:eastAsia="仿宋_GB2312" w:cs="宋体"/>
          <w:sz w:val="24"/>
          <w:szCs w:val="24"/>
          <w:lang w:val="zh-CN"/>
        </w:rPr>
        <w:t>（三）磋商文件获取：自行下载。</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四、响应文件份数：一式三份（正本一份，副本二份），每份响应文件须清楚表明“正本”或“副本”字样。</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五、响应文件递交：</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highlight w:val="none"/>
          <w:lang w:val="zh-CN"/>
        </w:rPr>
      </w:pPr>
      <w:r>
        <w:rPr>
          <w:rFonts w:ascii="仿宋_GB2312" w:eastAsia="仿宋_GB2312" w:cs="宋体"/>
          <w:sz w:val="24"/>
          <w:szCs w:val="24"/>
        </w:rPr>
        <w:t>（一）响应文件递交截止</w:t>
      </w:r>
      <w:r>
        <w:rPr>
          <w:rFonts w:ascii="仿宋_GB2312" w:eastAsia="仿宋_GB2312" w:cs="宋体"/>
          <w:sz w:val="24"/>
          <w:szCs w:val="24"/>
          <w:highlight w:val="none"/>
        </w:rPr>
        <w:t>时间：</w:t>
      </w:r>
      <w:r>
        <w:rPr>
          <w:rFonts w:hint="eastAsia" w:ascii="仿宋_GB2312" w:eastAsia="仿宋_GB2312" w:cs="宋体"/>
          <w:sz w:val="24"/>
          <w:szCs w:val="24"/>
          <w:highlight w:val="none"/>
          <w:lang w:eastAsia="zh-CN"/>
        </w:rPr>
        <w:t>2024年</w:t>
      </w:r>
      <w:r>
        <w:rPr>
          <w:rFonts w:hint="eastAsia" w:ascii="仿宋_GB2312" w:eastAsia="仿宋_GB2312" w:cs="宋体"/>
          <w:kern w:val="0"/>
          <w:sz w:val="24"/>
          <w:szCs w:val="24"/>
          <w:highlight w:val="none"/>
          <w:lang w:val="en-US" w:eastAsia="zh-CN" w:bidi="ar-SA"/>
        </w:rPr>
        <w:t>5月21</w:t>
      </w:r>
      <w:r>
        <w:rPr>
          <w:rFonts w:hint="eastAsia" w:ascii="仿宋_GB2312" w:hAnsi="宋体" w:eastAsia="仿宋_GB2312" w:cs="宋体"/>
          <w:kern w:val="0"/>
          <w:sz w:val="24"/>
          <w:szCs w:val="24"/>
          <w:highlight w:val="none"/>
          <w:lang w:val="en-US" w:eastAsia="zh-CN" w:bidi="ar-SA"/>
        </w:rPr>
        <w:t>日</w:t>
      </w:r>
      <w:r>
        <w:rPr>
          <w:rFonts w:hint="eastAsia" w:ascii="仿宋_GB2312" w:eastAsia="仿宋_GB2312" w:cs="宋体"/>
          <w:kern w:val="0"/>
          <w:sz w:val="24"/>
          <w:szCs w:val="24"/>
          <w:highlight w:val="none"/>
          <w:lang w:val="en-US" w:eastAsia="zh-CN" w:bidi="ar-SA"/>
        </w:rPr>
        <w:t>上午9：00</w:t>
      </w:r>
      <w:r>
        <w:rPr>
          <w:rFonts w:ascii="仿宋_GB2312" w:eastAsia="仿宋_GB2312" w:cs="宋体"/>
          <w:sz w:val="24"/>
          <w:szCs w:val="24"/>
          <w:highlight w:val="none"/>
        </w:rPr>
        <w:t>；</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highlight w:val="none"/>
          <w:lang w:val="zh-CN"/>
        </w:rPr>
      </w:pPr>
      <w:r>
        <w:rPr>
          <w:rFonts w:ascii="仿宋_GB2312" w:eastAsia="仿宋_GB2312" w:cs="宋体"/>
          <w:sz w:val="24"/>
          <w:szCs w:val="24"/>
          <w:highlight w:val="none"/>
        </w:rPr>
        <w:t>（二）响应文件开启时间：</w:t>
      </w:r>
      <w:r>
        <w:rPr>
          <w:rFonts w:hint="eastAsia" w:ascii="仿宋_GB2312" w:eastAsia="仿宋_GB2312" w:cs="宋体"/>
          <w:sz w:val="24"/>
          <w:szCs w:val="24"/>
          <w:highlight w:val="none"/>
          <w:lang w:eastAsia="zh-CN"/>
        </w:rPr>
        <w:t>2024年</w:t>
      </w:r>
      <w:r>
        <w:rPr>
          <w:rFonts w:hint="eastAsia" w:ascii="仿宋_GB2312" w:eastAsia="仿宋_GB2312" w:cs="宋体"/>
          <w:kern w:val="0"/>
          <w:sz w:val="24"/>
          <w:szCs w:val="24"/>
          <w:highlight w:val="none"/>
          <w:lang w:val="en-US" w:eastAsia="zh-CN" w:bidi="ar-SA"/>
        </w:rPr>
        <w:t>5月21</w:t>
      </w:r>
      <w:r>
        <w:rPr>
          <w:rFonts w:hint="eastAsia" w:ascii="仿宋_GB2312" w:hAnsi="宋体" w:eastAsia="仿宋_GB2312" w:cs="宋体"/>
          <w:kern w:val="0"/>
          <w:sz w:val="24"/>
          <w:szCs w:val="24"/>
          <w:highlight w:val="none"/>
          <w:lang w:val="en-US" w:eastAsia="zh-CN" w:bidi="ar-SA"/>
        </w:rPr>
        <w:t>日</w:t>
      </w:r>
      <w:r>
        <w:rPr>
          <w:rFonts w:hint="eastAsia" w:ascii="仿宋_GB2312" w:eastAsia="仿宋_GB2312" w:cs="宋体"/>
          <w:kern w:val="0"/>
          <w:sz w:val="24"/>
          <w:szCs w:val="24"/>
          <w:highlight w:val="none"/>
          <w:lang w:val="en-US" w:eastAsia="zh-CN" w:bidi="ar-SA"/>
        </w:rPr>
        <w:t>上午9：00</w:t>
      </w:r>
      <w:r>
        <w:rPr>
          <w:rFonts w:ascii="仿宋_GB2312" w:eastAsia="仿宋_GB2312" w:cs="宋体"/>
          <w:sz w:val="24"/>
          <w:szCs w:val="24"/>
          <w:highlight w:val="none"/>
        </w:rPr>
        <w:t>；</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（三）地点：芜湖市弋江区文昌西路22号皖南医学院滨江校区图书信息楼东辅楼5楼5002室；</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（四）递交响应文件时间截止后，磋商小组与供应商磋商，请供应商法定代表人或其授权委托代表（提供授权委托书）出席。</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eastAsia="zh-CN"/>
        </w:rPr>
      </w:pPr>
      <w:r>
        <w:rPr>
          <w:rFonts w:ascii="仿宋_GB2312" w:eastAsia="仿宋_GB2312" w:cs="宋体"/>
          <w:sz w:val="24"/>
          <w:szCs w:val="24"/>
        </w:rPr>
        <w:t>六、</w:t>
      </w:r>
      <w:r>
        <w:rPr>
          <w:rFonts w:hint="eastAsia" w:ascii="仿宋_GB2312" w:eastAsia="仿宋_GB2312" w:cs="宋体"/>
          <w:sz w:val="24"/>
          <w:szCs w:val="24"/>
          <w:lang w:eastAsia="zh-CN"/>
        </w:rPr>
        <w:t>公告期限</w:t>
      </w:r>
    </w:p>
    <w:p>
      <w:pPr>
        <w:pStyle w:val="24"/>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eastAsia="zh-CN"/>
        </w:rPr>
      </w:pPr>
      <w:r>
        <w:rPr>
          <w:rFonts w:hint="eastAsia" w:ascii="仿宋_GB2312" w:eastAsia="仿宋_GB2312" w:cs="宋体"/>
          <w:sz w:val="24"/>
          <w:szCs w:val="24"/>
          <w:lang w:eastAsia="zh-CN"/>
        </w:rPr>
        <w:t>自本公告发布之日起</w:t>
      </w:r>
      <w:r>
        <w:rPr>
          <w:rFonts w:hint="eastAsia" w:ascii="仿宋_GB2312" w:eastAsia="仿宋_GB2312" w:cs="宋体"/>
          <w:sz w:val="24"/>
          <w:szCs w:val="24"/>
          <w:lang w:val="en-US" w:eastAsia="zh-CN"/>
        </w:rPr>
        <w:t>5个工作日。</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hint="eastAsia" w:ascii="仿宋_GB2312" w:eastAsia="仿宋_GB2312" w:cs="宋体"/>
          <w:sz w:val="24"/>
          <w:szCs w:val="24"/>
          <w:lang w:eastAsia="zh-CN"/>
        </w:rPr>
        <w:t>七、</w:t>
      </w:r>
      <w:r>
        <w:rPr>
          <w:rFonts w:ascii="仿宋_GB2312" w:eastAsia="仿宋_GB2312" w:cs="宋体"/>
          <w:sz w:val="24"/>
          <w:szCs w:val="24"/>
        </w:rPr>
        <w:t>联系方式：</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（一）联系人：赵老师</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rPr>
      </w:pPr>
      <w:r>
        <w:rPr>
          <w:rFonts w:ascii="仿宋_GB2312" w:eastAsia="仿宋_GB2312" w:cs="宋体"/>
          <w:sz w:val="24"/>
          <w:szCs w:val="24"/>
        </w:rPr>
        <w:t>（二）联系电话：0553-3932052</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hint="eastAsia" w:ascii="仿宋_GB2312" w:eastAsia="仿宋_GB2312" w:cs="宋体"/>
          <w:sz w:val="24"/>
          <w:szCs w:val="24"/>
          <w:lang w:eastAsia="zh-CN"/>
        </w:rPr>
        <w:t>八</w:t>
      </w:r>
      <w:r>
        <w:rPr>
          <w:rFonts w:ascii="仿宋_GB2312" w:eastAsia="仿宋_GB2312" w:cs="宋体"/>
          <w:sz w:val="24"/>
          <w:szCs w:val="24"/>
        </w:rPr>
        <w:t>、备注</w:t>
      </w:r>
    </w:p>
    <w:p>
      <w:pPr>
        <w:pStyle w:val="24"/>
        <w:adjustRightInd w:val="0"/>
        <w:snapToGrid w:val="0"/>
        <w:spacing w:before="0" w:beforeAutospacing="0" w:after="0" w:afterAutospacing="0" w:line="360" w:lineRule="auto"/>
        <w:ind w:firstLine="960" w:firstLineChars="400"/>
        <w:jc w:val="both"/>
        <w:rPr>
          <w:rFonts w:ascii="仿宋_GB2312" w:eastAsia="仿宋_GB2312" w:cs="宋体"/>
          <w:sz w:val="24"/>
          <w:szCs w:val="24"/>
        </w:rPr>
      </w:pPr>
      <w:r>
        <w:rPr>
          <w:rFonts w:ascii="仿宋_GB2312" w:eastAsia="仿宋_GB2312" w:cs="宋体"/>
          <w:sz w:val="24"/>
          <w:szCs w:val="24"/>
        </w:rPr>
        <w:t>我校保留对</w:t>
      </w:r>
      <w:r>
        <w:rPr>
          <w:rFonts w:hint="eastAsia" w:ascii="仿宋_GB2312" w:eastAsia="仿宋_GB2312" w:cs="宋体"/>
          <w:sz w:val="24"/>
          <w:szCs w:val="24"/>
          <w:lang w:eastAsia="zh-CN"/>
        </w:rPr>
        <w:t>申请</w:t>
      </w:r>
      <w:r>
        <w:rPr>
          <w:rFonts w:ascii="仿宋_GB2312" w:eastAsia="仿宋_GB2312" w:cs="宋体"/>
          <w:sz w:val="24"/>
          <w:szCs w:val="24"/>
        </w:rPr>
        <w:t>合格单位进行进一步资格审核的权利。</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rPr>
      </w:pPr>
      <w:r>
        <w:rPr>
          <w:rFonts w:hint="eastAsia" w:ascii="仿宋_GB2312" w:eastAsia="仿宋_GB2312" w:cs="宋体"/>
          <w:sz w:val="24"/>
          <w:szCs w:val="24"/>
          <w:lang w:eastAsia="zh-CN"/>
        </w:rPr>
        <w:t>九</w:t>
      </w:r>
      <w:bookmarkStart w:id="134" w:name="_GoBack"/>
      <w:bookmarkEnd w:id="134"/>
      <w:r>
        <w:rPr>
          <w:rFonts w:hint="eastAsia" w:ascii="仿宋_GB2312" w:eastAsia="仿宋_GB2312" w:cs="宋体"/>
          <w:sz w:val="24"/>
          <w:szCs w:val="24"/>
        </w:rPr>
        <w:t>、温馨提示</w:t>
      </w:r>
    </w:p>
    <w:p>
      <w:pPr>
        <w:pStyle w:val="24"/>
        <w:adjustRightInd w:val="0"/>
        <w:snapToGrid w:val="0"/>
        <w:spacing w:before="0" w:beforeAutospacing="0" w:after="0" w:afterAutospacing="0" w:line="360" w:lineRule="auto"/>
        <w:ind w:firstLine="960" w:firstLineChars="400"/>
        <w:jc w:val="both"/>
        <w:rPr>
          <w:rFonts w:ascii="仿宋_GB2312" w:eastAsia="仿宋_GB2312" w:cs="宋体"/>
          <w:sz w:val="24"/>
          <w:szCs w:val="24"/>
        </w:rPr>
      </w:pPr>
      <w:r>
        <w:rPr>
          <w:rFonts w:hint="eastAsia" w:ascii="仿宋_GB2312" w:eastAsia="仿宋_GB2312" w:cs="宋体"/>
          <w:sz w:val="24"/>
          <w:szCs w:val="24"/>
        </w:rPr>
        <w:t>因学校防控要求，校外人员进校需进行入校申请（扫二维码）。</w:t>
      </w:r>
    </w:p>
    <w:p>
      <w:pPr>
        <w:pStyle w:val="24"/>
        <w:adjustRightInd w:val="0"/>
        <w:snapToGrid w:val="0"/>
        <w:spacing w:before="0" w:beforeAutospacing="0" w:after="0" w:afterAutospacing="0" w:line="360" w:lineRule="auto"/>
        <w:ind w:firstLine="560" w:firstLineChars="200"/>
        <w:jc w:val="center"/>
        <w:rPr>
          <w:rFonts w:ascii="仿宋_GB2312" w:hAnsi="Times New Roman" w:eastAsia="仿宋_GB2312"/>
          <w:kern w:val="2"/>
          <w:sz w:val="28"/>
          <w:szCs w:val="28"/>
        </w:rPr>
      </w:pPr>
      <w:r>
        <w:rPr>
          <w:rFonts w:hint="eastAsia" w:ascii="仿宋_GB2312" w:hAnsi="Times New Roman" w:eastAsia="仿宋_GB2312"/>
          <w:kern w:val="2"/>
          <w:sz w:val="28"/>
          <w:szCs w:val="28"/>
        </w:rPr>
        <w:drawing>
          <wp:inline distT="0" distB="0" distL="114300" distR="114300">
            <wp:extent cx="1536065" cy="1544955"/>
            <wp:effectExtent l="0" t="0" r="6985" b="17145"/>
            <wp:docPr id="4" name="图片 1" descr="6F9E6558A3E3F1F3F15B00FD686CB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6F9E6558A3E3F1F3F15B00FD686CBED0"/>
                    <pic:cNvPicPr>
                      <a:picLocks noChangeAspect="1"/>
                    </pic:cNvPicPr>
                  </pic:nvPicPr>
                  <pic:blipFill>
                    <a:blip r:embed="rId6"/>
                    <a:srcRect r="671" b="15752"/>
                    <a:stretch>
                      <a:fillRect/>
                    </a:stretch>
                  </pic:blipFill>
                  <pic:spPr>
                    <a:xfrm>
                      <a:off x="0" y="0"/>
                      <a:ext cx="1536065" cy="1544955"/>
                    </a:xfrm>
                    <a:prstGeom prst="rect">
                      <a:avLst/>
                    </a:prstGeom>
                    <a:noFill/>
                    <a:ln>
                      <a:noFill/>
                    </a:ln>
                  </pic:spPr>
                </pic:pic>
              </a:graphicData>
            </a:graphic>
          </wp:inline>
        </w:drawing>
      </w:r>
    </w:p>
    <w:p>
      <w:pPr>
        <w:pStyle w:val="24"/>
        <w:adjustRightInd w:val="0"/>
        <w:snapToGrid w:val="0"/>
        <w:spacing w:before="0" w:beforeAutospacing="0" w:after="0" w:afterAutospacing="0" w:line="360" w:lineRule="auto"/>
        <w:ind w:firstLine="480" w:firstLineChars="200"/>
        <w:jc w:val="center"/>
        <w:rPr>
          <w:rFonts w:ascii="仿宋_GB2312" w:eastAsia="仿宋_GB2312" w:cs="宋体"/>
          <w:sz w:val="24"/>
          <w:szCs w:val="24"/>
        </w:rPr>
      </w:pPr>
      <w:r>
        <w:rPr>
          <w:rFonts w:hint="eastAsia" w:ascii="仿宋_GB2312" w:eastAsia="仿宋_GB2312" w:cs="宋体"/>
          <w:sz w:val="24"/>
          <w:szCs w:val="24"/>
        </w:rPr>
        <w:t>投标报备：各投标单位于</w:t>
      </w:r>
      <w:r>
        <w:rPr>
          <w:rFonts w:hint="eastAsia" w:ascii="仿宋_GB2312" w:eastAsia="仿宋_GB2312" w:cs="宋体"/>
          <w:sz w:val="24"/>
          <w:szCs w:val="24"/>
          <w:lang w:eastAsia="zh-CN"/>
        </w:rPr>
        <w:t>2024年</w:t>
      </w:r>
      <w:r>
        <w:rPr>
          <w:rFonts w:hint="eastAsia" w:ascii="仿宋_GB2312" w:eastAsia="仿宋_GB2312" w:cs="宋体"/>
          <w:sz w:val="24"/>
          <w:szCs w:val="24"/>
          <w:lang w:val="en-US" w:eastAsia="zh-CN"/>
        </w:rPr>
        <w:t>5</w:t>
      </w:r>
      <w:r>
        <w:rPr>
          <w:rFonts w:hint="eastAsia" w:ascii="仿宋_GB2312" w:eastAsia="仿宋_GB2312" w:cs="宋体"/>
          <w:sz w:val="24"/>
          <w:szCs w:val="24"/>
          <w:lang w:eastAsia="zh-CN"/>
        </w:rPr>
        <w:t>月</w:t>
      </w:r>
      <w:r>
        <w:rPr>
          <w:rFonts w:hint="eastAsia" w:ascii="仿宋_GB2312" w:eastAsia="仿宋_GB2312" w:cs="宋体"/>
          <w:sz w:val="24"/>
          <w:szCs w:val="24"/>
          <w:lang w:val="en-US" w:eastAsia="zh-CN"/>
        </w:rPr>
        <w:t>20</w:t>
      </w:r>
      <w:r>
        <w:rPr>
          <w:rFonts w:hint="eastAsia" w:ascii="仿宋_GB2312" w:eastAsia="仿宋_GB2312" w:cs="宋体"/>
          <w:sz w:val="24"/>
          <w:szCs w:val="24"/>
        </w:rPr>
        <w:t>日17：00前如实填写，未按时提交校外人员入校申请的，后果自负（受访人：王凌云 受访人电话：13505596369）。</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 </w:t>
      </w:r>
    </w:p>
    <w:p>
      <w:pPr>
        <w:pStyle w:val="24"/>
        <w:adjustRightInd w:val="0"/>
        <w:snapToGrid w:val="0"/>
        <w:spacing w:before="0" w:beforeAutospacing="0" w:after="0" w:afterAutospacing="0" w:line="360" w:lineRule="auto"/>
        <w:ind w:firstLine="480" w:firstLineChars="200"/>
        <w:jc w:val="right"/>
        <w:rPr>
          <w:rFonts w:ascii="仿宋_GB2312" w:eastAsia="仿宋_GB2312" w:cs="宋体"/>
          <w:sz w:val="24"/>
          <w:szCs w:val="24"/>
          <w:lang w:val="zh-CN"/>
        </w:rPr>
      </w:pPr>
      <w:r>
        <w:rPr>
          <w:rFonts w:ascii="仿宋_GB2312" w:eastAsia="仿宋_GB2312" w:cs="宋体"/>
          <w:sz w:val="24"/>
          <w:szCs w:val="24"/>
        </w:rPr>
        <w:t>皖南医学院国有资产管理处</w:t>
      </w:r>
    </w:p>
    <w:p>
      <w:pPr>
        <w:pStyle w:val="24"/>
        <w:adjustRightInd w:val="0"/>
        <w:snapToGrid w:val="0"/>
        <w:spacing w:before="0" w:beforeAutospacing="0" w:after="0" w:afterAutospacing="0" w:line="360" w:lineRule="auto"/>
        <w:ind w:firstLine="480" w:firstLineChars="200"/>
        <w:jc w:val="right"/>
        <w:rPr>
          <w:rFonts w:ascii="微软雅黑" w:hAnsi="微软雅黑" w:eastAsia="微软雅黑" w:cs="微软雅黑"/>
          <w:color w:val="333333"/>
          <w:sz w:val="21"/>
          <w:szCs w:val="21"/>
        </w:rPr>
      </w:pPr>
      <w:r>
        <w:rPr>
          <w:rFonts w:hint="eastAsia" w:ascii="仿宋_GB2312" w:eastAsia="仿宋_GB2312" w:cs="宋体"/>
          <w:sz w:val="24"/>
          <w:szCs w:val="24"/>
          <w:lang w:eastAsia="zh-CN"/>
        </w:rPr>
        <w:t>2024年</w:t>
      </w:r>
      <w:r>
        <w:rPr>
          <w:rFonts w:hint="eastAsia" w:ascii="仿宋_GB2312" w:eastAsia="仿宋_GB2312" w:cs="宋体"/>
          <w:sz w:val="24"/>
          <w:szCs w:val="24"/>
          <w:lang w:val="en-US" w:eastAsia="zh-CN"/>
        </w:rPr>
        <w:t>5</w:t>
      </w:r>
      <w:r>
        <w:rPr>
          <w:rFonts w:hint="eastAsia" w:ascii="仿宋_GB2312" w:eastAsia="仿宋_GB2312" w:cs="宋体"/>
          <w:sz w:val="24"/>
          <w:szCs w:val="24"/>
          <w:lang w:eastAsia="zh-CN"/>
        </w:rPr>
        <w:t>月</w:t>
      </w:r>
      <w:r>
        <w:rPr>
          <w:rFonts w:hint="eastAsia" w:ascii="仿宋_GB2312" w:eastAsia="仿宋_GB2312" w:cs="宋体"/>
          <w:sz w:val="24"/>
          <w:szCs w:val="24"/>
          <w:lang w:val="en-US" w:eastAsia="zh-CN"/>
        </w:rPr>
        <w:t>8</w:t>
      </w:r>
      <w:r>
        <w:rPr>
          <w:rFonts w:ascii="仿宋_GB2312" w:eastAsia="仿宋_GB2312" w:cs="宋体"/>
          <w:sz w:val="24"/>
          <w:szCs w:val="24"/>
        </w:rPr>
        <w:t>日</w:t>
      </w:r>
    </w:p>
    <w:p>
      <w:pPr>
        <w:jc w:val="right"/>
        <w:rPr>
          <w:rFonts w:ascii="仿宋_GB2312" w:eastAsia="仿宋_GB2312"/>
          <w:sz w:val="24"/>
          <w:szCs w:val="24"/>
        </w:rPr>
      </w:pPr>
    </w:p>
    <w:p>
      <w:pPr>
        <w:rPr>
          <w:rFonts w:ascii="华文中宋" w:hAnsi="华文中宋" w:eastAsia="华文中宋"/>
        </w:rPr>
      </w:pPr>
      <w:bookmarkStart w:id="1" w:name="_Toc49763000"/>
      <w:r>
        <w:rPr>
          <w:rFonts w:hint="eastAsia" w:ascii="华文中宋" w:hAnsi="华文中宋" w:eastAsia="华文中宋"/>
        </w:rPr>
        <w:br w:type="page"/>
      </w:r>
    </w:p>
    <w:p>
      <w:pPr>
        <w:pStyle w:val="2"/>
        <w:snapToGrid w:val="0"/>
        <w:spacing w:before="0" w:after="0"/>
        <w:ind w:left="0" w:firstLine="2168" w:firstLineChars="600"/>
        <w:jc w:val="both"/>
        <w:rPr>
          <w:rFonts w:ascii="华文中宋" w:hAnsi="华文中宋" w:eastAsia="华文中宋"/>
          <w:color w:val="auto"/>
        </w:rPr>
      </w:pPr>
      <w:r>
        <w:rPr>
          <w:rFonts w:hint="eastAsia" w:ascii="华文中宋" w:hAnsi="华文中宋" w:eastAsia="华文中宋"/>
          <w:color w:val="auto"/>
        </w:rPr>
        <w:t>第二章  磋商须知前附表</w:t>
      </w:r>
      <w:bookmarkEnd w:id="1"/>
    </w:p>
    <w:tbl>
      <w:tblPr>
        <w:tblStyle w:val="27"/>
        <w:tblW w:w="91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249"/>
        <w:gridCol w:w="58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b/>
                <w:kern w:val="0"/>
                <w:sz w:val="21"/>
                <w:szCs w:val="21"/>
              </w:rPr>
            </w:pPr>
            <w:r>
              <w:rPr>
                <w:rFonts w:hint="eastAsia" w:ascii="宋体" w:hAnsi="宋体" w:cs="宋体"/>
                <w:b/>
                <w:kern w:val="0"/>
                <w:sz w:val="21"/>
                <w:szCs w:val="21"/>
              </w:rPr>
              <w:t>条款号</w:t>
            </w:r>
          </w:p>
        </w:tc>
        <w:tc>
          <w:tcPr>
            <w:tcW w:w="2249" w:type="dxa"/>
            <w:vAlign w:val="center"/>
          </w:tcPr>
          <w:p>
            <w:pPr>
              <w:widowControl/>
              <w:spacing w:line="360" w:lineRule="exact"/>
              <w:jc w:val="center"/>
              <w:rPr>
                <w:rFonts w:ascii="宋体" w:hAnsi="宋体" w:cs="宋体"/>
                <w:b/>
                <w:kern w:val="0"/>
                <w:sz w:val="21"/>
                <w:szCs w:val="21"/>
              </w:rPr>
            </w:pPr>
            <w:r>
              <w:rPr>
                <w:rFonts w:hint="eastAsia" w:ascii="宋体" w:hAnsi="宋体" w:cs="宋体"/>
                <w:b/>
                <w:kern w:val="0"/>
                <w:sz w:val="21"/>
                <w:szCs w:val="21"/>
              </w:rPr>
              <w:t>条款名称</w:t>
            </w:r>
          </w:p>
        </w:tc>
        <w:tc>
          <w:tcPr>
            <w:tcW w:w="5866" w:type="dxa"/>
            <w:vAlign w:val="center"/>
          </w:tcPr>
          <w:p>
            <w:pPr>
              <w:widowControl/>
              <w:spacing w:line="360" w:lineRule="exact"/>
              <w:jc w:val="center"/>
              <w:rPr>
                <w:rFonts w:ascii="宋体" w:hAnsi="宋体" w:cs="宋体"/>
                <w:b/>
                <w:kern w:val="0"/>
                <w:sz w:val="21"/>
                <w:szCs w:val="21"/>
              </w:rPr>
            </w:pPr>
            <w:r>
              <w:rPr>
                <w:rFonts w:hint="eastAsia" w:ascii="宋体" w:hAnsi="宋体" w:cs="宋体"/>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2.1</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项目名称</w:t>
            </w:r>
          </w:p>
        </w:tc>
        <w:tc>
          <w:tcPr>
            <w:tcW w:w="5866" w:type="dxa"/>
            <w:vAlign w:val="center"/>
          </w:tcPr>
          <w:p>
            <w:pPr>
              <w:snapToGrid w:val="0"/>
              <w:jc w:val="left"/>
              <w:rPr>
                <w:rFonts w:hint="eastAsia" w:ascii="宋体" w:hAnsi="宋体" w:eastAsia="宋体" w:cs="宋体"/>
                <w:kern w:val="0"/>
                <w:sz w:val="21"/>
                <w:szCs w:val="21"/>
                <w:lang w:eastAsia="zh-CN"/>
              </w:rPr>
            </w:pPr>
            <w:r>
              <w:rPr>
                <w:rFonts w:hint="eastAsia" w:ascii="宋体" w:hAnsi="宋体" w:cs="宋体"/>
                <w:kern w:val="0"/>
                <w:sz w:val="21"/>
                <w:szCs w:val="21"/>
                <w:lang w:eastAsia="zh-CN"/>
              </w:rPr>
              <w:t>皖南医学院网站内容管理系统购置项目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2.2</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采购人</w:t>
            </w:r>
          </w:p>
        </w:tc>
        <w:tc>
          <w:tcPr>
            <w:tcW w:w="5866" w:type="dxa"/>
            <w:vAlign w:val="center"/>
          </w:tcPr>
          <w:p>
            <w:pPr>
              <w:widowControl/>
              <w:jc w:val="left"/>
              <w:rPr>
                <w:rFonts w:ascii="宋体" w:hAnsi="宋体" w:cs="宋体"/>
                <w:kern w:val="0"/>
                <w:sz w:val="21"/>
                <w:szCs w:val="21"/>
              </w:rPr>
            </w:pPr>
            <w:r>
              <w:rPr>
                <w:rFonts w:hint="eastAsia" w:ascii="宋体" w:hAnsi="宋体" w:cs="宋体"/>
                <w:kern w:val="0"/>
                <w:sz w:val="21"/>
                <w:szCs w:val="21"/>
              </w:rPr>
              <w:t>招标人名称：</w:t>
            </w:r>
            <w:r>
              <w:rPr>
                <w:rFonts w:hint="eastAsia" w:ascii="宋体" w:hAnsi="宋体" w:cs="宋体"/>
                <w:sz w:val="21"/>
                <w:szCs w:val="21"/>
              </w:rPr>
              <w:t>皖南医学院</w:t>
            </w:r>
          </w:p>
          <w:p>
            <w:pPr>
              <w:jc w:val="left"/>
              <w:rPr>
                <w:rFonts w:ascii="宋体" w:hAnsi="宋体" w:cs="宋体"/>
                <w:kern w:val="0"/>
                <w:sz w:val="21"/>
                <w:szCs w:val="21"/>
              </w:rPr>
            </w:pPr>
            <w:r>
              <w:rPr>
                <w:rFonts w:hint="eastAsia" w:ascii="宋体" w:hAnsi="宋体" w:cs="宋体"/>
                <w:kern w:val="0"/>
                <w:sz w:val="21"/>
                <w:szCs w:val="21"/>
              </w:rPr>
              <w:t xml:space="preserve">联系人：赵老师   </w:t>
            </w:r>
            <w:r>
              <w:rPr>
                <w:rFonts w:hint="eastAsia" w:ascii="宋体" w:hAnsi="宋体" w:cs="宋体"/>
                <w:b/>
                <w:kern w:val="0"/>
                <w:sz w:val="21"/>
                <w:szCs w:val="21"/>
              </w:rPr>
              <w:t xml:space="preserve"> </w:t>
            </w:r>
            <w:r>
              <w:rPr>
                <w:rFonts w:hint="eastAsia" w:ascii="宋体" w:hAnsi="宋体" w:cs="宋体"/>
                <w:kern w:val="0"/>
                <w:sz w:val="21"/>
                <w:szCs w:val="21"/>
              </w:rPr>
              <w:t xml:space="preserve"> 电话：0553-3932052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2.3</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招标范围</w:t>
            </w:r>
          </w:p>
        </w:tc>
        <w:tc>
          <w:tcPr>
            <w:tcW w:w="5866"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2.4</w:t>
            </w:r>
          </w:p>
        </w:tc>
        <w:tc>
          <w:tcPr>
            <w:tcW w:w="2249" w:type="dxa"/>
            <w:vAlign w:val="center"/>
          </w:tcPr>
          <w:p>
            <w:pPr>
              <w:widowControl/>
              <w:jc w:val="left"/>
              <w:rPr>
                <w:rFonts w:ascii="宋体" w:hAnsi="宋体" w:cs="宋体"/>
                <w:kern w:val="0"/>
                <w:sz w:val="21"/>
                <w:szCs w:val="21"/>
              </w:rPr>
            </w:pPr>
            <w:r>
              <w:rPr>
                <w:rFonts w:hint="eastAsia" w:ascii="宋体" w:hAnsi="宋体" w:cs="宋体"/>
                <w:kern w:val="0"/>
                <w:sz w:val="21"/>
                <w:szCs w:val="21"/>
              </w:rPr>
              <w:t>是否允许递交备选投标方案</w:t>
            </w:r>
          </w:p>
        </w:tc>
        <w:tc>
          <w:tcPr>
            <w:tcW w:w="5866"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2.5</w:t>
            </w:r>
          </w:p>
        </w:tc>
        <w:tc>
          <w:tcPr>
            <w:tcW w:w="2249" w:type="dxa"/>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签字或盖章要求</w:t>
            </w:r>
          </w:p>
        </w:tc>
        <w:tc>
          <w:tcPr>
            <w:tcW w:w="5866" w:type="dxa"/>
            <w:vAlign w:val="center"/>
          </w:tcPr>
          <w:p>
            <w:pPr>
              <w:widowControl/>
              <w:jc w:val="left"/>
              <w:rPr>
                <w:rFonts w:ascii="宋体" w:hAnsi="宋体" w:cs="宋体"/>
                <w:kern w:val="0"/>
                <w:sz w:val="21"/>
                <w:szCs w:val="21"/>
              </w:rPr>
            </w:pPr>
            <w:r>
              <w:rPr>
                <w:rFonts w:hint="eastAsia" w:ascii="宋体" w:hAnsi="宋体" w:cs="宋体"/>
                <w:kern w:val="0"/>
                <w:sz w:val="21"/>
                <w:szCs w:val="21"/>
              </w:rPr>
              <w:t>响应文件的内容均须经投标人法定代表人或其授权的代理人签字或盖章确认。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2.6</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投标文件份数</w:t>
            </w:r>
          </w:p>
        </w:tc>
        <w:tc>
          <w:tcPr>
            <w:tcW w:w="5866" w:type="dxa"/>
            <w:vAlign w:val="center"/>
          </w:tcPr>
          <w:p>
            <w:pPr>
              <w:jc w:val="left"/>
              <w:rPr>
                <w:rFonts w:ascii="宋体" w:hAnsi="宋体" w:cs="宋体"/>
                <w:sz w:val="21"/>
                <w:szCs w:val="21"/>
              </w:rPr>
            </w:pPr>
            <w:r>
              <w:rPr>
                <w:rFonts w:hint="eastAsia" w:ascii="宋体" w:hAnsi="宋体" w:cs="宋体"/>
                <w:sz w:val="21"/>
                <w:szCs w:val="21"/>
              </w:rPr>
              <w:t>正本1份，副本2份。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2.7</w:t>
            </w:r>
          </w:p>
        </w:tc>
        <w:tc>
          <w:tcPr>
            <w:tcW w:w="2249" w:type="dxa"/>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递交响应文件时间、地点</w:t>
            </w:r>
          </w:p>
        </w:tc>
        <w:tc>
          <w:tcPr>
            <w:tcW w:w="5866"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2.8</w:t>
            </w:r>
          </w:p>
        </w:tc>
        <w:tc>
          <w:tcPr>
            <w:tcW w:w="2249" w:type="dxa"/>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递交响应文件截止和开标时间、地点、开标条件</w:t>
            </w:r>
          </w:p>
        </w:tc>
        <w:tc>
          <w:tcPr>
            <w:tcW w:w="5866" w:type="dxa"/>
            <w:vAlign w:val="center"/>
          </w:tcPr>
          <w:p>
            <w:pPr>
              <w:jc w:val="left"/>
              <w:rPr>
                <w:rFonts w:ascii="宋体" w:hAnsi="宋体" w:cs="宋体"/>
                <w:kern w:val="0"/>
                <w:sz w:val="21"/>
                <w:szCs w:val="21"/>
              </w:rPr>
            </w:pPr>
            <w:r>
              <w:rPr>
                <w:rFonts w:hint="eastAsia" w:ascii="宋体" w:hAnsi="宋体" w:cs="宋体"/>
                <w:kern w:val="0"/>
                <w:sz w:val="21"/>
                <w:szCs w:val="21"/>
              </w:rPr>
              <w:t>投标截止和开标时间、地点：详见磋商公告</w:t>
            </w:r>
          </w:p>
          <w:p>
            <w:pPr>
              <w:jc w:val="left"/>
              <w:rPr>
                <w:rFonts w:ascii="宋体" w:hAnsi="宋体" w:cs="宋体"/>
                <w:b/>
                <w:kern w:val="0"/>
                <w:sz w:val="21"/>
                <w:szCs w:val="21"/>
              </w:rPr>
            </w:pPr>
            <w:r>
              <w:rPr>
                <w:rFonts w:hint="eastAsia" w:ascii="宋体" w:hAnsi="宋体" w:cs="宋体"/>
                <w:kern w:val="0"/>
                <w:sz w:val="21"/>
                <w:szCs w:val="21"/>
              </w:rPr>
              <w:t>开标条件：</w:t>
            </w:r>
            <w:r>
              <w:rPr>
                <w:rFonts w:hint="eastAsia" w:ascii="宋体" w:hAnsi="宋体" w:cs="宋体"/>
                <w:b/>
                <w:kern w:val="0"/>
                <w:sz w:val="21"/>
                <w:szCs w:val="21"/>
              </w:rPr>
              <w:t>递交响应提供下列文件，否则投标人的投标文件不予接收：</w:t>
            </w:r>
          </w:p>
          <w:p>
            <w:pPr>
              <w:jc w:val="left"/>
              <w:rPr>
                <w:rFonts w:ascii="宋体" w:hAnsi="宋体" w:cs="宋体"/>
                <w:kern w:val="0"/>
                <w:sz w:val="21"/>
                <w:szCs w:val="21"/>
              </w:rPr>
            </w:pPr>
            <w:r>
              <w:rPr>
                <w:rFonts w:hint="eastAsia" w:ascii="宋体" w:hAnsi="宋体" w:cs="宋体"/>
                <w:b/>
                <w:kern w:val="0"/>
                <w:sz w:val="21"/>
                <w:szCs w:val="21"/>
              </w:rPr>
              <w:t>（1）法定代表人或授权委托人身份证明、法定代表人授权委托书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2.9</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合同履约担保</w:t>
            </w:r>
          </w:p>
        </w:tc>
        <w:tc>
          <w:tcPr>
            <w:tcW w:w="5866" w:type="dxa"/>
            <w:vAlign w:val="center"/>
          </w:tcPr>
          <w:p>
            <w:pPr>
              <w:pStyle w:val="26"/>
              <w:ind w:firstLine="0" w:firstLineChars="0"/>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2.10</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履约保证金交纳及退付</w:t>
            </w:r>
          </w:p>
        </w:tc>
        <w:tc>
          <w:tcPr>
            <w:tcW w:w="5866" w:type="dxa"/>
            <w:vAlign w:val="center"/>
          </w:tcPr>
          <w:p>
            <w:pPr>
              <w:jc w:val="left"/>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1"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2.11</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磋商有效期</w:t>
            </w:r>
          </w:p>
        </w:tc>
        <w:tc>
          <w:tcPr>
            <w:tcW w:w="5866" w:type="dxa"/>
            <w:vAlign w:val="center"/>
          </w:tcPr>
          <w:p>
            <w:pPr>
              <w:spacing w:line="360" w:lineRule="exact"/>
              <w:jc w:val="left"/>
              <w:rPr>
                <w:rFonts w:ascii="宋体" w:hAnsi="宋体" w:cs="宋体"/>
                <w:kern w:val="0"/>
                <w:sz w:val="21"/>
                <w:szCs w:val="21"/>
              </w:rPr>
            </w:pPr>
            <w:r>
              <w:rPr>
                <w:rFonts w:hint="eastAsia" w:ascii="宋体" w:hAnsi="宋体" w:cs="宋体"/>
                <w:kern w:val="0"/>
                <w:sz w:val="21"/>
                <w:szCs w:val="21"/>
              </w:rPr>
              <w:t>自磋商之日起30天内。</w:t>
            </w:r>
          </w:p>
        </w:tc>
      </w:tr>
    </w:tbl>
    <w:p>
      <w:pPr>
        <w:jc w:val="center"/>
        <w:rPr>
          <w:rFonts w:ascii="华文中宋" w:hAnsi="华文中宋" w:eastAsia="华文中宋"/>
          <w:b/>
          <w:bCs/>
          <w:sz w:val="36"/>
          <w:szCs w:val="36"/>
        </w:rPr>
      </w:pPr>
      <w:bookmarkStart w:id="2" w:name="_Toc49763001"/>
      <w:r>
        <w:rPr>
          <w:rFonts w:hint="eastAsia" w:ascii="宋体" w:hAnsi="宋体" w:cs="宋体"/>
          <w:sz w:val="24"/>
          <w:szCs w:val="24"/>
        </w:rPr>
        <w:br w:type="page"/>
      </w:r>
      <w:r>
        <w:rPr>
          <w:rFonts w:hint="eastAsia" w:ascii="华文中宋" w:hAnsi="华文中宋" w:eastAsia="华文中宋"/>
          <w:b/>
          <w:bCs/>
          <w:sz w:val="36"/>
          <w:szCs w:val="36"/>
        </w:rPr>
        <w:t>第三章  磋商须知</w:t>
      </w:r>
      <w:bookmarkEnd w:id="2"/>
    </w:p>
    <w:p>
      <w:pPr>
        <w:adjustRightInd w:val="0"/>
        <w:snapToGrid w:val="0"/>
        <w:spacing w:line="360" w:lineRule="auto"/>
        <w:ind w:firstLine="480" w:firstLineChars="200"/>
        <w:rPr>
          <w:rFonts w:ascii="宋体" w:hAnsi="宋体" w:cs="宋体"/>
          <w:sz w:val="24"/>
          <w:szCs w:val="24"/>
        </w:rPr>
      </w:pPr>
      <w:bookmarkStart w:id="3" w:name="_Toc403987205"/>
      <w:bookmarkStart w:id="4" w:name="_Toc20823275"/>
      <w:bookmarkStart w:id="5" w:name="_Toc513029203"/>
      <w:bookmarkStart w:id="6" w:name="_Toc16938519"/>
      <w:bookmarkStart w:id="7" w:name="_Toc120614214"/>
      <w:r>
        <w:rPr>
          <w:rFonts w:hint="eastAsia" w:ascii="宋体" w:hAnsi="宋体" w:cs="宋体"/>
          <w:sz w:val="24"/>
          <w:szCs w:val="24"/>
        </w:rPr>
        <w:t>一、总则</w:t>
      </w:r>
      <w:bookmarkEnd w:id="3"/>
      <w:bookmarkEnd w:id="4"/>
      <w:bookmarkEnd w:id="5"/>
      <w:bookmarkEnd w:id="6"/>
      <w:bookmarkEnd w:id="7"/>
    </w:p>
    <w:p>
      <w:pPr>
        <w:adjustRightInd w:val="0"/>
        <w:snapToGrid w:val="0"/>
        <w:spacing w:line="360" w:lineRule="auto"/>
        <w:ind w:firstLine="480" w:firstLineChars="200"/>
        <w:rPr>
          <w:rFonts w:ascii="宋体" w:hAnsi="宋体" w:cs="宋体"/>
          <w:sz w:val="24"/>
          <w:szCs w:val="24"/>
        </w:rPr>
      </w:pPr>
      <w:bookmarkStart w:id="8" w:name="_Hlt16619475"/>
      <w:bookmarkEnd w:id="8"/>
      <w:bookmarkStart w:id="9" w:name="_Toc20823276"/>
      <w:bookmarkStart w:id="10" w:name="_Toc513029204"/>
      <w:bookmarkStart w:id="11" w:name="_Toc16938520"/>
      <w:r>
        <w:rPr>
          <w:rFonts w:hint="eastAsia" w:ascii="宋体" w:hAnsi="宋体" w:cs="宋体"/>
          <w:sz w:val="24"/>
          <w:szCs w:val="24"/>
        </w:rPr>
        <w:t>（一）采购方式</w:t>
      </w:r>
      <w:bookmarkEnd w:id="9"/>
      <w:bookmarkEnd w:id="10"/>
      <w:bookmarkEnd w:id="11"/>
      <w:r>
        <w:rPr>
          <w:rFonts w:hint="eastAsia" w:ascii="宋体" w:hAnsi="宋体" w:cs="宋体"/>
          <w:sz w:val="24"/>
          <w:szCs w:val="24"/>
        </w:rPr>
        <w:t>及定义</w:t>
      </w:r>
    </w:p>
    <w:p>
      <w:pPr>
        <w:pStyle w:val="40"/>
        <w:snapToGrid w:val="0"/>
        <w:rPr>
          <w:rFonts w:hAnsi="宋体" w:eastAsia="宋体"/>
          <w:sz w:val="24"/>
          <w:szCs w:val="24"/>
        </w:rPr>
      </w:pPr>
      <w:r>
        <w:rPr>
          <w:rFonts w:hint="eastAsia" w:hAnsi="宋体" w:eastAsia="宋体"/>
          <w:sz w:val="24"/>
          <w:szCs w:val="24"/>
        </w:rPr>
        <w:t>1.本次采购采用磋商方式，本磋商文件仅适用于磋商公告中所述项目。</w:t>
      </w:r>
    </w:p>
    <w:p>
      <w:pPr>
        <w:pStyle w:val="40"/>
        <w:snapToGrid w:val="0"/>
        <w:rPr>
          <w:rFonts w:hAnsi="宋体" w:eastAsia="宋体"/>
          <w:sz w:val="24"/>
          <w:szCs w:val="24"/>
        </w:rPr>
      </w:pPr>
      <w:r>
        <w:rPr>
          <w:rFonts w:hint="eastAsia" w:hAnsi="宋体" w:eastAsia="宋体"/>
          <w:sz w:val="24"/>
          <w:szCs w:val="24"/>
        </w:rPr>
        <w:t>2采购人指本项目的需求方皖南医学院。</w:t>
      </w:r>
    </w:p>
    <w:p>
      <w:pPr>
        <w:adjustRightInd w:val="0"/>
        <w:snapToGrid w:val="0"/>
        <w:spacing w:line="360" w:lineRule="auto"/>
        <w:ind w:firstLine="480" w:firstLineChars="200"/>
        <w:rPr>
          <w:rFonts w:ascii="宋体" w:hAnsi="宋体" w:cs="宋体"/>
          <w:sz w:val="24"/>
          <w:szCs w:val="24"/>
        </w:rPr>
      </w:pPr>
      <w:bookmarkStart w:id="12" w:name="_Toc16938521"/>
      <w:bookmarkStart w:id="13" w:name="_Toc20823277"/>
      <w:bookmarkStart w:id="14" w:name="_Toc513029205"/>
      <w:r>
        <w:rPr>
          <w:rFonts w:hint="eastAsia" w:ascii="宋体" w:hAnsi="宋体" w:cs="宋体"/>
          <w:sz w:val="24"/>
          <w:szCs w:val="24"/>
        </w:rPr>
        <w:t>3.合格的供应商</w:t>
      </w:r>
      <w:bookmarkEnd w:id="12"/>
      <w:bookmarkEnd w:id="13"/>
      <w:bookmarkEnd w:id="14"/>
      <w:r>
        <w:rPr>
          <w:rFonts w:hint="eastAsia" w:ascii="宋体" w:hAnsi="宋体" w:cs="宋体"/>
          <w:sz w:val="24"/>
          <w:szCs w:val="24"/>
        </w:rPr>
        <w:tab/>
      </w:r>
    </w:p>
    <w:p>
      <w:pPr>
        <w:pStyle w:val="40"/>
        <w:snapToGrid w:val="0"/>
        <w:ind w:left="560" w:firstLine="0" w:firstLineChars="0"/>
        <w:rPr>
          <w:rFonts w:hAnsi="宋体" w:eastAsia="宋体"/>
          <w:sz w:val="24"/>
          <w:szCs w:val="24"/>
        </w:rPr>
      </w:pPr>
      <w:r>
        <w:rPr>
          <w:rFonts w:hint="eastAsia" w:hAnsi="宋体" w:eastAsia="宋体"/>
          <w:sz w:val="24"/>
          <w:szCs w:val="24"/>
        </w:rPr>
        <w:t>（1）满足磋商公告中供应商的资格条件的规定。</w:t>
      </w:r>
    </w:p>
    <w:p>
      <w:pPr>
        <w:pStyle w:val="40"/>
        <w:snapToGrid w:val="0"/>
        <w:rPr>
          <w:rFonts w:hAnsi="宋体" w:eastAsia="宋体"/>
          <w:sz w:val="24"/>
          <w:szCs w:val="24"/>
        </w:rPr>
      </w:pPr>
      <w:r>
        <w:rPr>
          <w:rFonts w:hint="eastAsia" w:hAnsi="宋体" w:eastAsia="宋体"/>
          <w:sz w:val="24"/>
          <w:szCs w:val="24"/>
        </w:rPr>
        <w:t>（2）满足本文件实质性条款的规定。</w:t>
      </w:r>
    </w:p>
    <w:p>
      <w:pPr>
        <w:adjustRightInd w:val="0"/>
        <w:snapToGrid w:val="0"/>
        <w:spacing w:line="360" w:lineRule="auto"/>
        <w:ind w:firstLine="480" w:firstLineChars="200"/>
        <w:rPr>
          <w:rFonts w:ascii="宋体" w:hAnsi="宋体" w:cs="宋体"/>
          <w:sz w:val="24"/>
          <w:szCs w:val="24"/>
        </w:rPr>
      </w:pPr>
      <w:bookmarkStart w:id="15" w:name="_Toc16938522"/>
      <w:bookmarkStart w:id="16" w:name="_Toc20823278"/>
      <w:bookmarkStart w:id="17" w:name="_Toc513029206"/>
      <w:r>
        <w:rPr>
          <w:rFonts w:hint="eastAsia" w:ascii="宋体" w:hAnsi="宋体" w:cs="宋体"/>
          <w:sz w:val="24"/>
          <w:szCs w:val="24"/>
        </w:rPr>
        <w:t>4.适用法律</w:t>
      </w:r>
      <w:bookmarkEnd w:id="15"/>
      <w:bookmarkEnd w:id="16"/>
      <w:bookmarkEnd w:id="17"/>
    </w:p>
    <w:p>
      <w:pPr>
        <w:pStyle w:val="40"/>
        <w:snapToGrid w:val="0"/>
        <w:rPr>
          <w:rFonts w:hAnsi="宋体" w:eastAsia="宋体"/>
          <w:sz w:val="24"/>
          <w:szCs w:val="24"/>
        </w:rPr>
      </w:pPr>
      <w:r>
        <w:rPr>
          <w:rFonts w:hint="eastAsia" w:hAnsi="宋体" w:eastAsia="宋体"/>
          <w:sz w:val="24"/>
          <w:szCs w:val="24"/>
        </w:rPr>
        <w:t>本次磋商及由此产生的合同受中华人民共和国有关的法律法规制约和保护。</w:t>
      </w:r>
    </w:p>
    <w:p>
      <w:pPr>
        <w:adjustRightInd w:val="0"/>
        <w:snapToGrid w:val="0"/>
        <w:spacing w:line="360" w:lineRule="auto"/>
        <w:ind w:firstLine="480" w:firstLineChars="200"/>
        <w:rPr>
          <w:rFonts w:ascii="宋体" w:hAnsi="宋体" w:cs="宋体"/>
          <w:sz w:val="24"/>
          <w:szCs w:val="24"/>
        </w:rPr>
      </w:pPr>
      <w:bookmarkStart w:id="18" w:name="_Toc16938523"/>
      <w:bookmarkStart w:id="19" w:name="_Toc462564067"/>
      <w:bookmarkStart w:id="20" w:name="_Toc20823279"/>
      <w:bookmarkStart w:id="21" w:name="_Toc513029207"/>
      <w:r>
        <w:rPr>
          <w:rFonts w:hint="eastAsia" w:ascii="宋体" w:hAnsi="宋体" w:cs="宋体"/>
          <w:sz w:val="24"/>
          <w:szCs w:val="24"/>
        </w:rPr>
        <w:t>5.磋商费用</w:t>
      </w:r>
      <w:bookmarkEnd w:id="18"/>
      <w:bookmarkEnd w:id="19"/>
      <w:bookmarkEnd w:id="20"/>
      <w:bookmarkEnd w:id="21"/>
    </w:p>
    <w:p>
      <w:pPr>
        <w:pStyle w:val="40"/>
        <w:snapToGrid w:val="0"/>
        <w:rPr>
          <w:rFonts w:hAnsi="宋体" w:eastAsia="宋体"/>
          <w:sz w:val="24"/>
          <w:szCs w:val="24"/>
        </w:rPr>
      </w:pPr>
      <w:r>
        <w:rPr>
          <w:rFonts w:hint="eastAsia" w:hAnsi="宋体" w:eastAsia="宋体"/>
          <w:sz w:val="24"/>
          <w:szCs w:val="24"/>
        </w:rPr>
        <w:t>（1）供应商应自行承担所有与参加磋商有关的费用，无论磋商过程中的做法和结果如何，采购人在任何情况下均无义务和责任承担这些费用。</w:t>
      </w:r>
    </w:p>
    <w:p>
      <w:pPr>
        <w:pStyle w:val="40"/>
        <w:snapToGrid w:val="0"/>
        <w:rPr>
          <w:rFonts w:hAnsi="宋体" w:eastAsia="宋体"/>
          <w:sz w:val="24"/>
          <w:szCs w:val="24"/>
        </w:rPr>
      </w:pPr>
      <w:r>
        <w:rPr>
          <w:rFonts w:hint="eastAsia" w:hAnsi="宋体" w:eastAsia="宋体"/>
          <w:sz w:val="24"/>
          <w:szCs w:val="24"/>
        </w:rPr>
        <w:t>（2）本次磋商采购人不收取文件工本费与成交服务费。</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6.磋商文件的约束力</w:t>
      </w:r>
    </w:p>
    <w:p>
      <w:pPr>
        <w:pStyle w:val="40"/>
        <w:snapToGrid w:val="0"/>
        <w:rPr>
          <w:rFonts w:hAnsi="宋体" w:eastAsia="宋体"/>
          <w:sz w:val="24"/>
          <w:szCs w:val="24"/>
        </w:rPr>
      </w:pPr>
      <w:r>
        <w:rPr>
          <w:rFonts w:hint="eastAsia" w:hAnsi="宋体" w:eastAsia="宋体"/>
          <w:sz w:val="24"/>
          <w:szCs w:val="24"/>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360" w:lineRule="auto"/>
        <w:ind w:firstLine="480" w:firstLineChars="200"/>
        <w:rPr>
          <w:rFonts w:ascii="宋体" w:hAnsi="宋体" w:cs="宋体"/>
          <w:sz w:val="24"/>
          <w:szCs w:val="24"/>
        </w:rPr>
      </w:pPr>
      <w:bookmarkStart w:id="22" w:name="_Toc403987206"/>
      <w:bookmarkStart w:id="23" w:name="_Toc16938525"/>
      <w:bookmarkStart w:id="24" w:name="_Toc20823281"/>
      <w:bookmarkStart w:id="25" w:name="_Toc513029209"/>
      <w:bookmarkStart w:id="26" w:name="_Toc120614215"/>
      <w:r>
        <w:rPr>
          <w:rFonts w:hint="eastAsia" w:ascii="宋体" w:hAnsi="宋体" w:cs="宋体"/>
          <w:sz w:val="24"/>
          <w:szCs w:val="24"/>
        </w:rPr>
        <w:t>（二）磋商文件</w:t>
      </w:r>
      <w:bookmarkEnd w:id="22"/>
      <w:bookmarkEnd w:id="23"/>
      <w:bookmarkEnd w:id="24"/>
      <w:bookmarkEnd w:id="25"/>
      <w:bookmarkEnd w:id="26"/>
    </w:p>
    <w:p>
      <w:pPr>
        <w:adjustRightInd w:val="0"/>
        <w:snapToGrid w:val="0"/>
        <w:spacing w:line="360" w:lineRule="auto"/>
        <w:ind w:firstLine="480" w:firstLineChars="200"/>
        <w:rPr>
          <w:rFonts w:ascii="宋体" w:hAnsi="宋体" w:cs="宋体"/>
          <w:sz w:val="24"/>
          <w:szCs w:val="24"/>
        </w:rPr>
      </w:pPr>
      <w:bookmarkStart w:id="27" w:name="_Toc20823282"/>
      <w:bookmarkStart w:id="28" w:name="_Toc16938526"/>
      <w:bookmarkStart w:id="29" w:name="_Toc513029210"/>
      <w:r>
        <w:rPr>
          <w:rFonts w:hint="eastAsia" w:ascii="宋体" w:hAnsi="宋体" w:cs="宋体"/>
          <w:sz w:val="24"/>
          <w:szCs w:val="24"/>
        </w:rPr>
        <w:t>1.磋商文件构成</w:t>
      </w:r>
      <w:bookmarkEnd w:id="27"/>
      <w:bookmarkEnd w:id="28"/>
      <w:bookmarkEnd w:id="29"/>
    </w:p>
    <w:p>
      <w:pPr>
        <w:pStyle w:val="40"/>
        <w:snapToGrid w:val="0"/>
        <w:rPr>
          <w:rFonts w:hAnsi="宋体" w:eastAsia="宋体"/>
          <w:sz w:val="24"/>
          <w:szCs w:val="24"/>
        </w:rPr>
      </w:pPr>
      <w:r>
        <w:rPr>
          <w:rFonts w:hint="eastAsia" w:hAnsi="宋体" w:eastAsia="宋体"/>
          <w:sz w:val="24"/>
          <w:szCs w:val="24"/>
        </w:rPr>
        <w:t>磋商文件有以下部分组成：</w:t>
      </w:r>
    </w:p>
    <w:p>
      <w:pPr>
        <w:pStyle w:val="40"/>
        <w:snapToGrid w:val="0"/>
        <w:rPr>
          <w:rFonts w:hAnsi="宋体" w:eastAsia="宋体"/>
          <w:sz w:val="24"/>
          <w:szCs w:val="24"/>
        </w:rPr>
      </w:pPr>
      <w:r>
        <w:rPr>
          <w:rFonts w:hint="eastAsia" w:hAnsi="宋体" w:eastAsia="宋体"/>
          <w:sz w:val="24"/>
          <w:szCs w:val="24"/>
        </w:rPr>
        <w:t>（1）磋商公告</w:t>
      </w:r>
    </w:p>
    <w:p>
      <w:pPr>
        <w:pStyle w:val="40"/>
        <w:snapToGrid w:val="0"/>
        <w:rPr>
          <w:rFonts w:hAnsi="宋体" w:eastAsia="宋体"/>
          <w:sz w:val="24"/>
          <w:szCs w:val="24"/>
        </w:rPr>
      </w:pPr>
      <w:r>
        <w:rPr>
          <w:rFonts w:hint="eastAsia" w:hAnsi="宋体" w:eastAsia="宋体"/>
          <w:sz w:val="24"/>
          <w:szCs w:val="24"/>
        </w:rPr>
        <w:t>（2）磋商须知前附表</w:t>
      </w:r>
    </w:p>
    <w:p>
      <w:pPr>
        <w:pStyle w:val="40"/>
        <w:snapToGrid w:val="0"/>
        <w:rPr>
          <w:rFonts w:hAnsi="宋体" w:eastAsia="宋体"/>
          <w:sz w:val="24"/>
          <w:szCs w:val="24"/>
        </w:rPr>
      </w:pPr>
      <w:r>
        <w:rPr>
          <w:rFonts w:hint="eastAsia" w:hAnsi="宋体" w:eastAsia="宋体"/>
          <w:sz w:val="24"/>
          <w:szCs w:val="24"/>
        </w:rPr>
        <w:t>（3）磋商须知</w:t>
      </w:r>
    </w:p>
    <w:p>
      <w:pPr>
        <w:pStyle w:val="40"/>
        <w:snapToGrid w:val="0"/>
        <w:rPr>
          <w:rFonts w:hAnsi="宋体" w:eastAsia="宋体"/>
          <w:sz w:val="24"/>
          <w:szCs w:val="24"/>
        </w:rPr>
      </w:pPr>
      <w:r>
        <w:rPr>
          <w:rFonts w:hint="eastAsia" w:hAnsi="宋体" w:eastAsia="宋体"/>
          <w:sz w:val="24"/>
          <w:szCs w:val="24"/>
        </w:rPr>
        <w:t>（4）合同主要条款</w:t>
      </w:r>
    </w:p>
    <w:p>
      <w:pPr>
        <w:pStyle w:val="40"/>
        <w:snapToGrid w:val="0"/>
        <w:rPr>
          <w:rFonts w:hAnsi="宋体" w:eastAsia="宋体"/>
          <w:sz w:val="24"/>
          <w:szCs w:val="24"/>
        </w:rPr>
      </w:pPr>
      <w:r>
        <w:rPr>
          <w:rFonts w:hint="eastAsia" w:hAnsi="宋体" w:eastAsia="宋体"/>
          <w:sz w:val="24"/>
          <w:szCs w:val="24"/>
        </w:rPr>
        <w:t>（5）项目需求</w:t>
      </w:r>
    </w:p>
    <w:p>
      <w:pPr>
        <w:pStyle w:val="40"/>
        <w:snapToGrid w:val="0"/>
        <w:rPr>
          <w:rFonts w:hAnsi="宋体" w:eastAsia="宋体"/>
          <w:sz w:val="24"/>
          <w:szCs w:val="24"/>
        </w:rPr>
      </w:pPr>
      <w:r>
        <w:rPr>
          <w:rFonts w:hint="eastAsia" w:hAnsi="宋体" w:eastAsia="宋体"/>
          <w:sz w:val="24"/>
          <w:szCs w:val="24"/>
        </w:rPr>
        <w:t>（6）评审标准</w:t>
      </w:r>
    </w:p>
    <w:p>
      <w:pPr>
        <w:pStyle w:val="40"/>
        <w:snapToGrid w:val="0"/>
        <w:rPr>
          <w:rFonts w:hAnsi="宋体" w:eastAsia="宋体"/>
          <w:sz w:val="24"/>
          <w:szCs w:val="24"/>
        </w:rPr>
      </w:pPr>
      <w:r>
        <w:rPr>
          <w:rFonts w:hint="eastAsia" w:hAnsi="宋体" w:eastAsia="宋体"/>
          <w:sz w:val="24"/>
          <w:szCs w:val="24"/>
        </w:rPr>
        <w:t>（7）响应文件格式</w:t>
      </w:r>
    </w:p>
    <w:p>
      <w:pPr>
        <w:adjustRightInd w:val="0"/>
        <w:snapToGrid w:val="0"/>
        <w:spacing w:line="360" w:lineRule="auto"/>
        <w:ind w:firstLine="480" w:firstLineChars="200"/>
        <w:rPr>
          <w:rFonts w:ascii="宋体" w:hAnsi="宋体" w:cs="宋体"/>
          <w:sz w:val="24"/>
          <w:szCs w:val="24"/>
        </w:rPr>
      </w:pPr>
      <w:bookmarkStart w:id="30" w:name="_Toc20823283"/>
      <w:bookmarkStart w:id="31" w:name="_Toc16938527"/>
      <w:bookmarkStart w:id="32" w:name="_Toc462564070"/>
      <w:bookmarkStart w:id="33" w:name="_Toc513029211"/>
      <w:r>
        <w:rPr>
          <w:rFonts w:hint="eastAsia" w:ascii="宋体" w:hAnsi="宋体" w:cs="宋体"/>
          <w:sz w:val="24"/>
          <w:szCs w:val="24"/>
        </w:rPr>
        <w:t>2.磋商文件的澄清</w:t>
      </w:r>
      <w:bookmarkEnd w:id="30"/>
      <w:bookmarkEnd w:id="31"/>
      <w:bookmarkEnd w:id="32"/>
      <w:bookmarkEnd w:id="33"/>
      <w:r>
        <w:rPr>
          <w:rFonts w:hint="eastAsia" w:ascii="宋体" w:hAnsi="宋体" w:cs="宋体"/>
          <w:sz w:val="24"/>
          <w:szCs w:val="24"/>
        </w:rPr>
        <w:t>及修改</w:t>
      </w:r>
    </w:p>
    <w:p>
      <w:pPr>
        <w:pStyle w:val="40"/>
        <w:snapToGrid w:val="0"/>
        <w:rPr>
          <w:rFonts w:hAnsi="宋体" w:eastAsia="宋体"/>
          <w:sz w:val="24"/>
          <w:szCs w:val="24"/>
        </w:rPr>
      </w:pPr>
      <w:r>
        <w:rPr>
          <w:rFonts w:hint="eastAsia" w:hAnsi="宋体" w:eastAsia="宋体"/>
          <w:sz w:val="24"/>
          <w:szCs w:val="24"/>
        </w:rPr>
        <w:t>（1）任何要求对磋商文件进行澄清的供应商，均应在提交首次响应文件截止时间5日前按磋商公告中的通讯地址，以书面形式通知采购联系人，未在约定时间内对磋商文件提出质疑或其他要求的，视为对磋商文件无异议，我校不再接受任何对磋商文件的质疑或其他要求。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360" w:lineRule="auto"/>
        <w:ind w:firstLine="480" w:firstLineChars="200"/>
        <w:rPr>
          <w:rFonts w:ascii="宋体" w:hAnsi="宋体" w:cs="宋体"/>
          <w:sz w:val="24"/>
          <w:szCs w:val="24"/>
        </w:rPr>
      </w:pPr>
      <w:bookmarkStart w:id="34" w:name="_Toc16938529"/>
      <w:bookmarkStart w:id="35" w:name="_Toc513029213"/>
      <w:bookmarkStart w:id="36" w:name="_Toc120614216"/>
      <w:bookmarkStart w:id="37" w:name="_Toc403987207"/>
      <w:bookmarkStart w:id="38" w:name="_Toc20823285"/>
      <w:bookmarkStart w:id="39" w:name="_Toc462564072"/>
      <w:r>
        <w:rPr>
          <w:rFonts w:hint="eastAsia" w:ascii="宋体" w:hAnsi="宋体" w:cs="宋体"/>
          <w:sz w:val="24"/>
          <w:szCs w:val="24"/>
        </w:rPr>
        <w:t>（三）响应文件的递交及编制</w:t>
      </w:r>
      <w:bookmarkEnd w:id="34"/>
      <w:bookmarkEnd w:id="35"/>
      <w:bookmarkEnd w:id="36"/>
      <w:bookmarkEnd w:id="37"/>
      <w:bookmarkEnd w:id="38"/>
      <w:bookmarkEnd w:id="39"/>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2.供应商应当按照磋商文件的要求编制响应文件，并</w:t>
      </w:r>
      <w:bookmarkStart w:id="40" w:name="我"/>
      <w:bookmarkEnd w:id="40"/>
      <w:r>
        <w:rPr>
          <w:rFonts w:hint="eastAsia" w:ascii="宋体" w:hAnsi="宋体" w:cs="宋体"/>
          <w:sz w:val="24"/>
          <w:szCs w:val="24"/>
        </w:rPr>
        <w:t>对其提交的响应文件的真实性、合法性承担法律责任。</w:t>
      </w:r>
    </w:p>
    <w:p>
      <w:pPr>
        <w:adjustRightInd w:val="0"/>
        <w:snapToGrid w:val="0"/>
        <w:spacing w:line="360" w:lineRule="auto"/>
        <w:ind w:firstLine="480" w:firstLineChars="200"/>
        <w:rPr>
          <w:rFonts w:ascii="宋体" w:hAnsi="宋体" w:cs="宋体"/>
          <w:sz w:val="24"/>
          <w:szCs w:val="24"/>
        </w:rPr>
      </w:pPr>
      <w:bookmarkStart w:id="41" w:name="_Toc20823286"/>
      <w:bookmarkStart w:id="42" w:name="_Toc16938530"/>
      <w:bookmarkStart w:id="43" w:name="_Toc462564073"/>
      <w:bookmarkStart w:id="44" w:name="_Toc513029214"/>
      <w:r>
        <w:rPr>
          <w:rFonts w:hint="eastAsia" w:ascii="宋体" w:hAnsi="宋体" w:cs="宋体"/>
          <w:sz w:val="24"/>
          <w:szCs w:val="24"/>
        </w:rPr>
        <w:t>3.响应文件的语言及度量衡单位</w:t>
      </w:r>
      <w:bookmarkEnd w:id="41"/>
      <w:bookmarkEnd w:id="42"/>
      <w:bookmarkEnd w:id="43"/>
      <w:bookmarkEnd w:id="44"/>
    </w:p>
    <w:p>
      <w:pPr>
        <w:pStyle w:val="40"/>
        <w:snapToGrid w:val="0"/>
        <w:rPr>
          <w:rFonts w:hAnsi="宋体" w:eastAsia="宋体"/>
          <w:sz w:val="24"/>
          <w:szCs w:val="24"/>
        </w:rPr>
      </w:pPr>
      <w:r>
        <w:rPr>
          <w:rFonts w:hint="eastAsia" w:hAnsi="宋体" w:eastAsia="宋体"/>
          <w:sz w:val="24"/>
          <w:szCs w:val="24"/>
        </w:rPr>
        <w:t>（1）供应商提交的响应文件以及供应商与我校就有关磋商的所有来往通知、函件和文件均应使用</w:t>
      </w:r>
      <w:r>
        <w:rPr>
          <w:rFonts w:hint="eastAsia" w:hAnsi="宋体" w:eastAsia="宋体"/>
          <w:bCs/>
          <w:sz w:val="24"/>
          <w:szCs w:val="24"/>
        </w:rPr>
        <w:t>简体中文</w:t>
      </w:r>
      <w:r>
        <w:rPr>
          <w:rFonts w:hint="eastAsia" w:hAnsi="宋体" w:eastAsia="宋体"/>
          <w:sz w:val="24"/>
          <w:szCs w:val="24"/>
        </w:rPr>
        <w:t>。</w:t>
      </w:r>
    </w:p>
    <w:p>
      <w:pPr>
        <w:pStyle w:val="40"/>
        <w:snapToGrid w:val="0"/>
        <w:rPr>
          <w:rFonts w:hAnsi="宋体" w:eastAsia="宋体"/>
          <w:sz w:val="24"/>
          <w:szCs w:val="24"/>
        </w:rPr>
      </w:pPr>
      <w:r>
        <w:rPr>
          <w:rFonts w:hint="eastAsia" w:hAnsi="宋体" w:eastAsia="宋体"/>
          <w:sz w:val="24"/>
          <w:szCs w:val="24"/>
        </w:rPr>
        <w:t>（2）除技术性能另有规定外，响应文件所使用的度量衡单位，均须采用国家法定计量单位。</w:t>
      </w:r>
    </w:p>
    <w:p>
      <w:pPr>
        <w:adjustRightInd w:val="0"/>
        <w:snapToGrid w:val="0"/>
        <w:spacing w:line="360" w:lineRule="auto"/>
        <w:ind w:firstLine="480" w:firstLineChars="200"/>
        <w:rPr>
          <w:rFonts w:ascii="宋体" w:hAnsi="宋体" w:cs="宋体"/>
          <w:sz w:val="24"/>
          <w:szCs w:val="24"/>
        </w:rPr>
      </w:pPr>
      <w:bookmarkStart w:id="45" w:name="_Toc513029215"/>
      <w:bookmarkStart w:id="46" w:name="_Toc20823287"/>
      <w:bookmarkStart w:id="47" w:name="_Toc16938531"/>
      <w:bookmarkStart w:id="48" w:name="_Toc462564074"/>
      <w:r>
        <w:rPr>
          <w:rFonts w:hint="eastAsia" w:ascii="宋体" w:hAnsi="宋体" w:cs="宋体"/>
          <w:sz w:val="24"/>
          <w:szCs w:val="24"/>
        </w:rPr>
        <w:t>4.响应文件构成</w:t>
      </w:r>
      <w:bookmarkEnd w:id="45"/>
      <w:bookmarkEnd w:id="46"/>
      <w:bookmarkEnd w:id="47"/>
      <w:bookmarkEnd w:id="48"/>
    </w:p>
    <w:p>
      <w:pPr>
        <w:pStyle w:val="40"/>
        <w:snapToGrid w:val="0"/>
        <w:rPr>
          <w:rFonts w:hAnsi="宋体" w:eastAsia="宋体"/>
          <w:sz w:val="24"/>
          <w:szCs w:val="24"/>
        </w:rPr>
      </w:pPr>
      <w:r>
        <w:rPr>
          <w:rFonts w:hint="eastAsia" w:hAnsi="宋体" w:eastAsia="宋体"/>
          <w:sz w:val="24"/>
          <w:szCs w:val="24"/>
        </w:rPr>
        <w:t>（1）供应商应该按照磋商文件的要求编写响应文件应。</w:t>
      </w:r>
    </w:p>
    <w:p>
      <w:pPr>
        <w:pStyle w:val="40"/>
        <w:snapToGrid w:val="0"/>
        <w:rPr>
          <w:rFonts w:hAnsi="宋体" w:eastAsia="宋体"/>
          <w:sz w:val="24"/>
          <w:szCs w:val="24"/>
        </w:rPr>
      </w:pPr>
      <w:r>
        <w:rPr>
          <w:rFonts w:hint="eastAsia" w:hAnsi="宋体" w:eastAsia="宋体"/>
          <w:sz w:val="24"/>
          <w:szCs w:val="24"/>
        </w:rPr>
        <w:t>（2）供应商应将响应文件按顺序装订成册，并编制响应文件资料目录。</w:t>
      </w:r>
    </w:p>
    <w:p>
      <w:pPr>
        <w:adjustRightInd w:val="0"/>
        <w:snapToGrid w:val="0"/>
        <w:spacing w:line="360" w:lineRule="auto"/>
        <w:ind w:firstLine="480" w:firstLineChars="200"/>
        <w:rPr>
          <w:rFonts w:ascii="宋体" w:hAnsi="宋体" w:cs="宋体"/>
          <w:sz w:val="24"/>
          <w:szCs w:val="24"/>
        </w:rPr>
      </w:pPr>
      <w:bookmarkStart w:id="49" w:name="_Hlt26954838"/>
      <w:bookmarkEnd w:id="49"/>
      <w:bookmarkStart w:id="50" w:name="_Hlt26670360"/>
      <w:bookmarkEnd w:id="50"/>
      <w:bookmarkStart w:id="51" w:name="_Hlt26668975"/>
      <w:bookmarkEnd w:id="51"/>
      <w:bookmarkStart w:id="52" w:name="_Toc49090509"/>
      <w:bookmarkStart w:id="53" w:name="_Toc14577357"/>
      <w:bookmarkStart w:id="54" w:name="_Toc513029219"/>
      <w:bookmarkStart w:id="55" w:name="_Toc14577354"/>
      <w:bookmarkStart w:id="56" w:name="_Toc513029216"/>
      <w:bookmarkStart w:id="57" w:name="_Toc49090507"/>
      <w:r>
        <w:rPr>
          <w:rFonts w:hint="eastAsia" w:ascii="宋体" w:hAnsi="宋体" w:cs="宋体"/>
          <w:sz w:val="24"/>
          <w:szCs w:val="24"/>
        </w:rPr>
        <w:t>5.证明供应商资格及符合磋商文件规定的文件</w:t>
      </w:r>
      <w:bookmarkEnd w:id="52"/>
      <w:bookmarkEnd w:id="53"/>
      <w:bookmarkEnd w:id="54"/>
    </w:p>
    <w:p>
      <w:pPr>
        <w:pStyle w:val="40"/>
        <w:snapToGrid w:val="0"/>
        <w:rPr>
          <w:rFonts w:hAnsi="宋体" w:eastAsia="宋体"/>
          <w:sz w:val="24"/>
          <w:szCs w:val="24"/>
        </w:rPr>
      </w:pPr>
      <w:bookmarkStart w:id="58" w:name="_Hlt26668999"/>
      <w:bookmarkEnd w:id="58"/>
      <w:r>
        <w:rPr>
          <w:rFonts w:hint="eastAsia" w:hAnsi="宋体" w:eastAsia="宋体"/>
          <w:sz w:val="24"/>
          <w:szCs w:val="24"/>
        </w:rPr>
        <w:t>（1）供应商应按要求提交资格证明文件及符合磋商文件规定的文件。</w:t>
      </w:r>
    </w:p>
    <w:p>
      <w:pPr>
        <w:pStyle w:val="40"/>
        <w:snapToGrid w:val="0"/>
        <w:rPr>
          <w:rFonts w:hAnsi="宋体" w:eastAsia="宋体"/>
          <w:sz w:val="24"/>
          <w:szCs w:val="24"/>
        </w:rPr>
      </w:pPr>
      <w:r>
        <w:rPr>
          <w:rFonts w:hint="eastAsia" w:hAnsi="宋体" w:eastAsia="宋体"/>
          <w:sz w:val="24"/>
          <w:szCs w:val="24"/>
        </w:rPr>
        <w:t>（2）供应商除必须具有履行合同所需提供的货物以及服务的能力外，还必须具备相应的财务、技术方面的能力。</w:t>
      </w:r>
    </w:p>
    <w:bookmarkEnd w:id="55"/>
    <w:bookmarkEnd w:id="56"/>
    <w:bookmarkEnd w:id="57"/>
    <w:p>
      <w:pPr>
        <w:adjustRightInd w:val="0"/>
        <w:snapToGrid w:val="0"/>
        <w:spacing w:line="360" w:lineRule="auto"/>
        <w:ind w:firstLine="480" w:firstLineChars="200"/>
        <w:rPr>
          <w:rFonts w:ascii="宋体" w:hAnsi="宋体" w:cs="宋体"/>
          <w:sz w:val="24"/>
          <w:szCs w:val="24"/>
        </w:rPr>
      </w:pPr>
      <w:bookmarkStart w:id="59" w:name="_Toc14577355"/>
      <w:bookmarkStart w:id="60" w:name="_Toc49090508"/>
      <w:r>
        <w:rPr>
          <w:rFonts w:hint="eastAsia" w:ascii="宋体" w:hAnsi="宋体" w:cs="宋体"/>
          <w:sz w:val="24"/>
          <w:szCs w:val="24"/>
        </w:rPr>
        <w:t>6.报价</w:t>
      </w:r>
      <w:bookmarkEnd w:id="59"/>
      <w:bookmarkStart w:id="61" w:name="_Hlt26670373"/>
      <w:bookmarkEnd w:id="61"/>
      <w:r>
        <w:rPr>
          <w:rFonts w:hint="eastAsia" w:ascii="宋体" w:hAnsi="宋体" w:cs="宋体"/>
          <w:sz w:val="24"/>
          <w:szCs w:val="24"/>
        </w:rPr>
        <w:t>明细表</w:t>
      </w:r>
      <w:bookmarkEnd w:id="60"/>
    </w:p>
    <w:p>
      <w:pPr>
        <w:adjustRightInd w:val="0"/>
        <w:snapToGrid w:val="0"/>
        <w:spacing w:line="360" w:lineRule="auto"/>
        <w:ind w:firstLine="480" w:firstLineChars="200"/>
        <w:rPr>
          <w:rFonts w:ascii="宋体" w:hAnsi="宋体" w:cs="宋体"/>
          <w:bCs/>
          <w:sz w:val="24"/>
          <w:szCs w:val="24"/>
        </w:rPr>
      </w:pPr>
      <w:r>
        <w:rPr>
          <w:rFonts w:hint="eastAsia" w:ascii="宋体" w:hAnsi="宋体" w:cs="宋体"/>
          <w:sz w:val="24"/>
          <w:szCs w:val="24"/>
        </w:rPr>
        <w:t>（1）供应商应按照磋商文件规定格式填报报价</w:t>
      </w:r>
      <w:bookmarkStart w:id="62" w:name="_Hlt26670399"/>
      <w:bookmarkEnd w:id="62"/>
      <w:r>
        <w:rPr>
          <w:rFonts w:hint="eastAsia" w:ascii="宋体" w:hAnsi="宋体" w:cs="宋体"/>
          <w:sz w:val="24"/>
          <w:szCs w:val="24"/>
        </w:rPr>
        <w:t>费率。每项费用只允许有一个报价，任何有选择的报价将不予接受。（如有）</w:t>
      </w:r>
    </w:p>
    <w:p>
      <w:pPr>
        <w:pStyle w:val="40"/>
        <w:snapToGrid w:val="0"/>
        <w:rPr>
          <w:rFonts w:hAnsi="宋体" w:eastAsia="宋体"/>
          <w:sz w:val="24"/>
          <w:szCs w:val="24"/>
        </w:rPr>
      </w:pPr>
      <w:r>
        <w:rPr>
          <w:rFonts w:hint="eastAsia" w:hAnsi="宋体" w:eastAsia="宋体"/>
          <w:bCs/>
          <w:sz w:val="24"/>
          <w:szCs w:val="24"/>
        </w:rPr>
        <w:t>（2）</w:t>
      </w:r>
      <w:r>
        <w:rPr>
          <w:rFonts w:hint="eastAsia" w:hAnsi="宋体" w:eastAsia="宋体"/>
          <w:sz w:val="24"/>
          <w:szCs w:val="24"/>
        </w:rPr>
        <w:t>磋商报价</w:t>
      </w:r>
      <w:r>
        <w:rPr>
          <w:rFonts w:hint="eastAsia" w:hAnsi="宋体" w:eastAsia="宋体"/>
          <w:spacing w:val="-6"/>
          <w:sz w:val="24"/>
          <w:szCs w:val="24"/>
        </w:rPr>
        <w:t>应包括</w:t>
      </w:r>
      <w:r>
        <w:rPr>
          <w:rFonts w:hint="eastAsia" w:hAnsi="宋体" w:eastAsia="宋体"/>
          <w:sz w:val="24"/>
          <w:szCs w:val="24"/>
        </w:rPr>
        <w:t>所需人工费、材料费、其他（保险费，以及合同明示或暗示的风险、责任和义务等）费，以及管理费、利润和规费、税金等一切费用。</w:t>
      </w:r>
    </w:p>
    <w:p>
      <w:pPr>
        <w:pStyle w:val="40"/>
        <w:snapToGrid w:val="0"/>
        <w:ind w:firstLine="482"/>
        <w:rPr>
          <w:rFonts w:hAnsi="宋体" w:eastAsia="宋体"/>
          <w:bCs/>
          <w:sz w:val="24"/>
          <w:szCs w:val="24"/>
        </w:rPr>
      </w:pPr>
      <w:r>
        <w:rPr>
          <w:rFonts w:hint="eastAsia" w:hAnsi="宋体" w:eastAsia="宋体"/>
          <w:b/>
          <w:sz w:val="24"/>
          <w:szCs w:val="24"/>
        </w:rPr>
        <w:t>最终报价一经确定不得更改，且不受市场价格波动影响。</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（3）其它费用处理</w:t>
      </w:r>
    </w:p>
    <w:p>
      <w:pPr>
        <w:pStyle w:val="40"/>
        <w:snapToGrid w:val="0"/>
        <w:rPr>
          <w:rFonts w:hAnsi="宋体" w:eastAsia="宋体"/>
          <w:sz w:val="24"/>
          <w:szCs w:val="24"/>
        </w:rPr>
      </w:pPr>
      <w:r>
        <w:rPr>
          <w:rFonts w:hint="eastAsia" w:hAnsi="宋体" w:eastAsia="宋体"/>
          <w:sz w:val="24"/>
          <w:szCs w:val="24"/>
        </w:rPr>
        <w:t>磋商文件未列明，而供应商认为必需的费用也需列入报价。</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7.响应文件货币</w:t>
      </w:r>
    </w:p>
    <w:p>
      <w:pPr>
        <w:pStyle w:val="40"/>
        <w:snapToGrid w:val="0"/>
        <w:rPr>
          <w:rFonts w:hAnsi="宋体" w:eastAsia="宋体"/>
          <w:sz w:val="24"/>
          <w:szCs w:val="24"/>
        </w:rPr>
      </w:pPr>
      <w:r>
        <w:rPr>
          <w:rFonts w:hint="eastAsia" w:hAnsi="宋体" w:eastAsia="宋体"/>
          <w:sz w:val="24"/>
          <w:szCs w:val="24"/>
        </w:rPr>
        <w:t>响应文件中的货物单价和总价无特殊规定的采用人民币报价。磋商文件中另有规定的按规定执行。</w:t>
      </w:r>
    </w:p>
    <w:p>
      <w:pPr>
        <w:adjustRightInd w:val="0"/>
        <w:snapToGrid w:val="0"/>
        <w:spacing w:line="360" w:lineRule="auto"/>
        <w:ind w:firstLine="480" w:firstLineChars="200"/>
        <w:rPr>
          <w:rFonts w:ascii="宋体" w:hAnsi="宋体" w:cs="宋体"/>
          <w:sz w:val="24"/>
          <w:szCs w:val="24"/>
        </w:rPr>
      </w:pPr>
      <w:bookmarkStart w:id="63" w:name="_Hlt26954848"/>
      <w:bookmarkEnd w:id="63"/>
      <w:bookmarkStart w:id="64" w:name="_Hlt26954739"/>
      <w:bookmarkEnd w:id="64"/>
      <w:bookmarkStart w:id="65" w:name="_Hlt26954852"/>
      <w:bookmarkEnd w:id="65"/>
      <w:bookmarkStart w:id="66" w:name="_Hlt26670482"/>
      <w:bookmarkEnd w:id="66"/>
      <w:bookmarkStart w:id="67" w:name="_Hlt26670486"/>
      <w:bookmarkEnd w:id="67"/>
      <w:bookmarkStart w:id="68" w:name="_Hlt26954731"/>
      <w:bookmarkEnd w:id="68"/>
      <w:bookmarkStart w:id="69" w:name="_Hlt26954846"/>
      <w:bookmarkEnd w:id="69"/>
      <w:bookmarkStart w:id="70" w:name="_Toc49090512"/>
      <w:bookmarkStart w:id="71" w:name="_Toc14577361"/>
      <w:r>
        <w:rPr>
          <w:rFonts w:hint="eastAsia" w:ascii="宋体" w:hAnsi="宋体" w:cs="宋体"/>
          <w:sz w:val="24"/>
          <w:szCs w:val="24"/>
        </w:rPr>
        <w:t>8.响应文件份数和签署</w:t>
      </w:r>
      <w:bookmarkEnd w:id="70"/>
      <w:bookmarkEnd w:id="71"/>
    </w:p>
    <w:p>
      <w:pPr>
        <w:pStyle w:val="40"/>
        <w:snapToGrid w:val="0"/>
        <w:rPr>
          <w:rFonts w:hAnsi="宋体" w:eastAsia="宋体"/>
          <w:sz w:val="24"/>
          <w:szCs w:val="24"/>
        </w:rPr>
      </w:pPr>
      <w:r>
        <w:rPr>
          <w:rFonts w:hint="eastAsia" w:hAnsi="宋体" w:eastAsia="宋体"/>
          <w:sz w:val="24"/>
          <w:szCs w:val="24"/>
        </w:rPr>
        <w:t>（1）供应商应严格按照磋商公告要求的份数准备响应文件，每份响应文件须清楚地标明“正本”或“副本”字样。一旦正本和副本不符，以正本为准。</w:t>
      </w:r>
    </w:p>
    <w:p>
      <w:pPr>
        <w:pStyle w:val="40"/>
        <w:snapToGrid w:val="0"/>
        <w:rPr>
          <w:rFonts w:hAnsi="宋体" w:eastAsia="宋体"/>
          <w:sz w:val="24"/>
          <w:szCs w:val="24"/>
        </w:rPr>
      </w:pPr>
      <w:r>
        <w:rPr>
          <w:rFonts w:hint="eastAsia" w:hAnsi="宋体" w:eastAsia="宋体"/>
          <w:sz w:val="24"/>
          <w:szCs w:val="24"/>
        </w:rPr>
        <w:t>（2）响应文件的正本和所有的副本均需打印或复印，正本由供应商法定代表人或其授权代表签字。授权代表须将“法人授权书”（原件）附在正本响应文件中。</w:t>
      </w:r>
    </w:p>
    <w:p>
      <w:pPr>
        <w:pStyle w:val="40"/>
        <w:snapToGrid w:val="0"/>
        <w:rPr>
          <w:rFonts w:hAnsi="宋体" w:eastAsia="宋体"/>
          <w:sz w:val="24"/>
          <w:szCs w:val="24"/>
        </w:rPr>
      </w:pPr>
      <w:r>
        <w:rPr>
          <w:rFonts w:hint="eastAsia" w:hAnsi="宋体" w:eastAsia="宋体"/>
          <w:sz w:val="24"/>
          <w:szCs w:val="24"/>
        </w:rPr>
        <w:t>（3）除供应商对错处做必要修改外，响应文件不得行间插字、涂改或增删。如有修改错漏处，必须由响应文件签署人签字或盖章。</w:t>
      </w:r>
    </w:p>
    <w:p>
      <w:pPr>
        <w:adjustRightInd w:val="0"/>
        <w:snapToGrid w:val="0"/>
        <w:spacing w:line="360" w:lineRule="auto"/>
        <w:ind w:firstLine="480" w:firstLineChars="200"/>
        <w:rPr>
          <w:rFonts w:ascii="宋体" w:hAnsi="宋体" w:cs="宋体"/>
          <w:sz w:val="24"/>
          <w:szCs w:val="24"/>
        </w:rPr>
      </w:pPr>
      <w:bookmarkStart w:id="72" w:name="_Toc120614217"/>
      <w:bookmarkStart w:id="73" w:name="_Toc16938540"/>
      <w:bookmarkStart w:id="74" w:name="_Toc403987208"/>
      <w:bookmarkStart w:id="75" w:name="_Toc513029224"/>
      <w:bookmarkStart w:id="76" w:name="_Toc20823296"/>
      <w:r>
        <w:rPr>
          <w:rFonts w:hint="eastAsia" w:ascii="宋体" w:hAnsi="宋体" w:cs="宋体"/>
          <w:sz w:val="24"/>
          <w:szCs w:val="24"/>
        </w:rPr>
        <w:t>（四）响应文件的递交</w:t>
      </w:r>
      <w:bookmarkEnd w:id="72"/>
      <w:bookmarkEnd w:id="73"/>
      <w:bookmarkEnd w:id="74"/>
      <w:bookmarkEnd w:id="75"/>
      <w:bookmarkEnd w:id="76"/>
    </w:p>
    <w:p>
      <w:pPr>
        <w:adjustRightInd w:val="0"/>
        <w:snapToGrid w:val="0"/>
        <w:spacing w:line="360" w:lineRule="auto"/>
        <w:ind w:firstLine="480" w:firstLineChars="200"/>
        <w:rPr>
          <w:rFonts w:ascii="宋体" w:hAnsi="宋体" w:cs="宋体"/>
          <w:sz w:val="24"/>
          <w:szCs w:val="24"/>
        </w:rPr>
      </w:pPr>
      <w:bookmarkStart w:id="77" w:name="_Toc16938541"/>
      <w:bookmarkStart w:id="78" w:name="_Toc462564084"/>
      <w:bookmarkStart w:id="79" w:name="_Toc513029225"/>
      <w:bookmarkStart w:id="80" w:name="_Toc20823297"/>
      <w:r>
        <w:rPr>
          <w:rFonts w:hint="eastAsia" w:ascii="宋体" w:hAnsi="宋体" w:cs="宋体"/>
          <w:sz w:val="24"/>
          <w:szCs w:val="24"/>
        </w:rPr>
        <w:t>1.响应文件的密封和标记</w:t>
      </w:r>
      <w:bookmarkEnd w:id="77"/>
      <w:bookmarkEnd w:id="78"/>
      <w:bookmarkEnd w:id="79"/>
      <w:bookmarkEnd w:id="80"/>
    </w:p>
    <w:p>
      <w:pPr>
        <w:pStyle w:val="40"/>
        <w:snapToGrid w:val="0"/>
        <w:rPr>
          <w:rFonts w:hAnsi="宋体" w:eastAsia="宋体"/>
          <w:sz w:val="24"/>
          <w:szCs w:val="24"/>
        </w:rPr>
      </w:pPr>
      <w:r>
        <w:rPr>
          <w:rFonts w:hint="eastAsia" w:hAnsi="宋体" w:eastAsia="宋体"/>
          <w:sz w:val="24"/>
          <w:szCs w:val="24"/>
        </w:rPr>
        <w:t>（1）供应商应将响应文件正本和所有副本密封，并加盖供应商公章。不论供应商成交与否，响应文件均不退回。</w:t>
      </w:r>
    </w:p>
    <w:p>
      <w:pPr>
        <w:pStyle w:val="40"/>
        <w:snapToGrid w:val="0"/>
        <w:rPr>
          <w:rFonts w:hAnsi="宋体" w:eastAsia="宋体"/>
          <w:sz w:val="24"/>
          <w:szCs w:val="24"/>
        </w:rPr>
      </w:pPr>
      <w:r>
        <w:rPr>
          <w:rFonts w:hint="eastAsia" w:hAnsi="宋体" w:eastAsia="宋体"/>
          <w:sz w:val="24"/>
          <w:szCs w:val="24"/>
        </w:rPr>
        <w:t>（2）密封的响应文件应：</w:t>
      </w:r>
    </w:p>
    <w:p>
      <w:pPr>
        <w:pStyle w:val="40"/>
        <w:snapToGrid w:val="0"/>
        <w:rPr>
          <w:rFonts w:hAnsi="宋体" w:eastAsia="宋体"/>
          <w:sz w:val="24"/>
          <w:szCs w:val="24"/>
        </w:rPr>
      </w:pPr>
      <w:r>
        <w:rPr>
          <w:rFonts w:hint="eastAsia" w:hAnsi="宋体" w:eastAsia="宋体"/>
          <w:sz w:val="24"/>
          <w:szCs w:val="24"/>
        </w:rPr>
        <w:t>1）注明供应商名称，如因标注不清而产生的后果由供应商自负。按磋商公告中注明的地址送达；</w:t>
      </w:r>
    </w:p>
    <w:p>
      <w:pPr>
        <w:pStyle w:val="40"/>
        <w:snapToGrid w:val="0"/>
        <w:rPr>
          <w:rFonts w:hAnsi="宋体" w:eastAsia="宋体"/>
          <w:sz w:val="24"/>
          <w:szCs w:val="24"/>
        </w:rPr>
      </w:pPr>
      <w:r>
        <w:rPr>
          <w:rFonts w:hint="eastAsia" w:hAnsi="宋体" w:eastAsia="宋体"/>
          <w:sz w:val="24"/>
          <w:szCs w:val="24"/>
        </w:rPr>
        <w:t>2）注明磋商项目名称、项目编号。</w:t>
      </w:r>
    </w:p>
    <w:p>
      <w:pPr>
        <w:pStyle w:val="40"/>
        <w:snapToGrid w:val="0"/>
        <w:rPr>
          <w:rFonts w:hAnsi="宋体" w:eastAsia="宋体"/>
          <w:sz w:val="24"/>
          <w:szCs w:val="24"/>
        </w:rPr>
      </w:pPr>
      <w:r>
        <w:rPr>
          <w:rFonts w:hint="eastAsia" w:hAnsi="宋体" w:eastAsia="宋体"/>
          <w:sz w:val="24"/>
          <w:szCs w:val="24"/>
        </w:rPr>
        <w:t>3）未按要求密封和加写标记，采购人对误投或过早启封概不负责。对由此造成提前开封的响应文件，采购人将予以拒绝，作无效响应处理。</w:t>
      </w:r>
    </w:p>
    <w:p>
      <w:pPr>
        <w:adjustRightInd w:val="0"/>
        <w:snapToGrid w:val="0"/>
        <w:spacing w:line="360" w:lineRule="auto"/>
        <w:ind w:firstLine="480" w:firstLineChars="200"/>
        <w:rPr>
          <w:rFonts w:ascii="宋体" w:hAnsi="宋体" w:cs="宋体"/>
          <w:sz w:val="24"/>
          <w:szCs w:val="24"/>
        </w:rPr>
      </w:pPr>
      <w:bookmarkStart w:id="81" w:name="_Toc513029226"/>
      <w:bookmarkStart w:id="82" w:name="_Toc20823298"/>
      <w:bookmarkStart w:id="83" w:name="_Toc16938542"/>
      <w:r>
        <w:rPr>
          <w:rFonts w:hint="eastAsia" w:ascii="宋体" w:hAnsi="宋体" w:cs="宋体"/>
          <w:sz w:val="24"/>
          <w:szCs w:val="24"/>
        </w:rPr>
        <w:t>2.响应文件提交截止</w:t>
      </w:r>
      <w:bookmarkEnd w:id="81"/>
      <w:bookmarkEnd w:id="82"/>
      <w:bookmarkEnd w:id="83"/>
      <w:r>
        <w:rPr>
          <w:rFonts w:hint="eastAsia" w:ascii="宋体" w:hAnsi="宋体" w:cs="宋体"/>
          <w:sz w:val="24"/>
          <w:szCs w:val="24"/>
        </w:rPr>
        <w:t>时间</w:t>
      </w:r>
    </w:p>
    <w:p>
      <w:pPr>
        <w:pStyle w:val="40"/>
        <w:snapToGrid w:val="0"/>
        <w:rPr>
          <w:rFonts w:hAnsi="宋体" w:eastAsia="宋体"/>
          <w:sz w:val="24"/>
          <w:szCs w:val="24"/>
        </w:rPr>
      </w:pPr>
      <w:r>
        <w:rPr>
          <w:rFonts w:hint="eastAsia" w:hAnsi="宋体" w:eastAsia="宋体"/>
          <w:sz w:val="24"/>
          <w:szCs w:val="24"/>
        </w:rPr>
        <w:t>（1）采购人收到响应文件的时间不得迟于磋商公告中规定的截止时间。</w:t>
      </w:r>
    </w:p>
    <w:p>
      <w:pPr>
        <w:pStyle w:val="40"/>
        <w:snapToGrid w:val="0"/>
        <w:rPr>
          <w:rFonts w:hAnsi="宋体" w:eastAsia="宋体"/>
          <w:sz w:val="24"/>
          <w:szCs w:val="24"/>
        </w:rPr>
      </w:pPr>
      <w:r>
        <w:rPr>
          <w:rFonts w:hint="eastAsia" w:hAnsi="宋体" w:eastAsia="宋体"/>
          <w:sz w:val="24"/>
          <w:szCs w:val="24"/>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（五）磋商与评审</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1.磋商仪式</w:t>
      </w:r>
    </w:p>
    <w:p>
      <w:pPr>
        <w:pStyle w:val="40"/>
        <w:snapToGrid w:val="0"/>
        <w:rPr>
          <w:rFonts w:hAnsi="宋体" w:eastAsia="宋体"/>
          <w:sz w:val="24"/>
          <w:szCs w:val="24"/>
        </w:rPr>
      </w:pPr>
      <w:r>
        <w:rPr>
          <w:rFonts w:hint="eastAsia" w:hAnsi="宋体" w:eastAsia="宋体"/>
          <w:bCs/>
          <w:sz w:val="24"/>
          <w:szCs w:val="24"/>
        </w:rPr>
        <w:t>（1）采购人将在磋商公告中规定的时间和地点组织磋商</w:t>
      </w:r>
      <w:r>
        <w:rPr>
          <w:rFonts w:hint="eastAsia" w:hAnsi="宋体" w:eastAsia="宋体"/>
          <w:sz w:val="24"/>
          <w:szCs w:val="24"/>
        </w:rPr>
        <w:t>。供应商应委派携带有效证件的代表准时参加，参加磋商的代表需签名以证明其出席。</w:t>
      </w:r>
    </w:p>
    <w:p>
      <w:pPr>
        <w:pStyle w:val="40"/>
        <w:snapToGrid w:val="0"/>
        <w:rPr>
          <w:rFonts w:hAnsi="宋体" w:eastAsia="宋体"/>
          <w:sz w:val="24"/>
          <w:szCs w:val="24"/>
        </w:rPr>
      </w:pPr>
      <w:r>
        <w:rPr>
          <w:rFonts w:hint="eastAsia" w:hAnsi="宋体" w:eastAsia="宋体"/>
          <w:sz w:val="24"/>
          <w:szCs w:val="24"/>
        </w:rPr>
        <w:t>（2）磋商仪式由采购人代表主持，磋商领导小组成员、采购人代表、监督代表、供应商代表以及有关工作人员参加。</w:t>
      </w:r>
    </w:p>
    <w:p>
      <w:pPr>
        <w:pStyle w:val="40"/>
        <w:snapToGrid w:val="0"/>
        <w:rPr>
          <w:rFonts w:hAnsi="宋体" w:eastAsia="宋体"/>
          <w:sz w:val="24"/>
          <w:szCs w:val="24"/>
        </w:rPr>
      </w:pPr>
      <w:r>
        <w:rPr>
          <w:rFonts w:hint="eastAsia" w:hAnsi="宋体" w:eastAsia="宋体"/>
          <w:sz w:val="24"/>
          <w:szCs w:val="24"/>
        </w:rPr>
        <w:t>（3）磋商时请纪检监督人员查验响应文件密封情况，至响应文件开启时间后由磋商小组开启响应文件。</w:t>
      </w:r>
    </w:p>
    <w:p>
      <w:pPr>
        <w:adjustRightInd w:val="0"/>
        <w:snapToGrid w:val="0"/>
        <w:spacing w:line="360" w:lineRule="auto"/>
        <w:ind w:firstLine="480" w:firstLineChars="200"/>
        <w:rPr>
          <w:rFonts w:ascii="宋体" w:hAnsi="宋体" w:cs="宋体"/>
          <w:sz w:val="24"/>
          <w:szCs w:val="24"/>
        </w:rPr>
      </w:pPr>
      <w:bookmarkStart w:id="84" w:name="_Toc16938547"/>
      <w:bookmarkStart w:id="85" w:name="_Toc20823303"/>
      <w:bookmarkStart w:id="86" w:name="_Toc513029231"/>
      <w:r>
        <w:rPr>
          <w:rFonts w:hint="eastAsia" w:ascii="宋体" w:hAnsi="宋体" w:cs="宋体"/>
          <w:sz w:val="24"/>
          <w:szCs w:val="24"/>
        </w:rPr>
        <w:t>2.磋商小组</w:t>
      </w:r>
    </w:p>
    <w:p>
      <w:pPr>
        <w:pStyle w:val="40"/>
        <w:snapToGrid w:val="0"/>
        <w:rPr>
          <w:rFonts w:hAnsi="宋体" w:eastAsia="宋体"/>
          <w:sz w:val="24"/>
          <w:szCs w:val="24"/>
        </w:rPr>
      </w:pPr>
      <w:r>
        <w:rPr>
          <w:rFonts w:hint="eastAsia" w:hAnsi="宋体" w:eastAsia="宋体"/>
          <w:sz w:val="24"/>
          <w:szCs w:val="24"/>
        </w:rPr>
        <w:t>（1）磋商仪式结束后，采购人将立即组织磋商小组进行磋商。</w:t>
      </w:r>
    </w:p>
    <w:p>
      <w:pPr>
        <w:pStyle w:val="40"/>
        <w:snapToGrid w:val="0"/>
        <w:rPr>
          <w:rFonts w:hAnsi="宋体" w:eastAsia="宋体"/>
          <w:sz w:val="24"/>
          <w:szCs w:val="24"/>
        </w:rPr>
      </w:pPr>
      <w:r>
        <w:rPr>
          <w:rFonts w:hint="eastAsia" w:hAnsi="宋体" w:eastAsia="宋体"/>
          <w:sz w:val="24"/>
          <w:szCs w:val="24"/>
        </w:rPr>
        <w:t>（2）磋商小组将按规定由3人或以上单数组成。</w:t>
      </w:r>
    </w:p>
    <w:bookmarkEnd w:id="84"/>
    <w:bookmarkEnd w:id="85"/>
    <w:bookmarkEnd w:id="86"/>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（3）磋商小组工作原则</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3.响应文件审查</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ascii="宋体" w:hAnsi="宋体" w:cs="宋体"/>
          <w:sz w:val="24"/>
          <w:szCs w:val="24"/>
        </w:rPr>
      </w:pPr>
      <w:bookmarkStart w:id="87" w:name="_Toc20823304"/>
      <w:bookmarkStart w:id="88" w:name="_Toc513029232"/>
      <w:bookmarkStart w:id="89" w:name="_Toc16938548"/>
      <w:r>
        <w:rPr>
          <w:rFonts w:hint="eastAsia" w:ascii="宋体" w:hAnsi="宋体" w:cs="宋体"/>
          <w:sz w:val="24"/>
          <w:szCs w:val="24"/>
        </w:rPr>
        <w:t>4.供应商澄清</w:t>
      </w:r>
      <w:bookmarkEnd w:id="87"/>
      <w:bookmarkEnd w:id="88"/>
      <w:bookmarkEnd w:id="89"/>
    </w:p>
    <w:p>
      <w:pPr>
        <w:adjustRightInd w:val="0"/>
        <w:snapToGrid w:val="0"/>
        <w:spacing w:line="360" w:lineRule="auto"/>
        <w:ind w:firstLine="480" w:firstLineChars="200"/>
        <w:rPr>
          <w:rFonts w:ascii="宋体" w:hAnsi="宋体" w:cs="宋体"/>
          <w:sz w:val="24"/>
          <w:szCs w:val="24"/>
        </w:rPr>
      </w:pPr>
      <w:bookmarkStart w:id="90" w:name="_Toc16938549"/>
      <w:bookmarkStart w:id="91" w:name="_Toc513029233"/>
      <w:bookmarkStart w:id="92" w:name="_Toc20823305"/>
      <w:r>
        <w:rPr>
          <w:rFonts w:hint="eastAsia" w:ascii="宋体" w:hAnsi="宋体" w:cs="宋体"/>
          <w:sz w:val="24"/>
          <w:szCs w:val="24"/>
        </w:rPr>
        <w:t>磋商小组要求供应商澄清、说明或者更正响应文件将以书面形式作出。</w:t>
      </w:r>
    </w:p>
    <w:bookmarkEnd w:id="90"/>
    <w:bookmarkEnd w:id="91"/>
    <w:bookmarkEnd w:id="92"/>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5.磋商程序、最后报价、综合评分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（1）磋商小组所有成员应当集中与单一供应商分别进行磋商，并给予所有参加磋商的供应商平等的磋商机会。</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（3）</w:t>
      </w:r>
      <w:r>
        <w:rPr>
          <w:rFonts w:hint="eastAsia" w:ascii="宋体" w:hAnsi="宋体" w:cs="宋体"/>
          <w:b/>
          <w:bCs/>
          <w:sz w:val="24"/>
          <w:szCs w:val="24"/>
        </w:rPr>
        <w:t>磋商文件能够详细列明采购标的的技术、服务要求的，磋商结束后，磋商小组将要求所有实质性响应的供应商在规定时间内提交最后报价</w:t>
      </w:r>
      <w:r>
        <w:rPr>
          <w:rFonts w:hint="eastAsia" w:ascii="宋体" w:hAnsi="宋体" w:cs="宋体"/>
          <w:sz w:val="24"/>
          <w:szCs w:val="24"/>
        </w:rPr>
        <w:t>。最后报价是供应商响应文件的有效组成部分。</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（4）已提交响应文件的供应商，在提交最后报价之前，可以根据磋商情况退出磋商。</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（6）评审时，磋商小组各成员独立对每个有效响应的文件进行评价、打分，然后汇总每个供应商每项评分因素的得分。</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（7）磋商小组应当根据综合评分情况，按照评审得分由高到低顺序推荐2名中标候选单位，并编写评审报告。</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6.响应无效和终止磋商活动条款</w:t>
      </w:r>
    </w:p>
    <w:p>
      <w:pPr>
        <w:pStyle w:val="40"/>
        <w:snapToGrid w:val="0"/>
        <w:rPr>
          <w:rFonts w:hAnsi="宋体" w:eastAsia="宋体"/>
          <w:sz w:val="24"/>
          <w:szCs w:val="24"/>
        </w:rPr>
      </w:pPr>
      <w:bookmarkStart w:id="93" w:name="_Toc20823307"/>
      <w:bookmarkStart w:id="94" w:name="_Toc513029235"/>
      <w:bookmarkStart w:id="95" w:name="_Toc16938551"/>
      <w:r>
        <w:rPr>
          <w:rFonts w:hint="eastAsia" w:hAnsi="宋体" w:eastAsia="宋体"/>
          <w:sz w:val="24"/>
          <w:szCs w:val="24"/>
        </w:rPr>
        <w:t>（1）响应无效条款</w:t>
      </w:r>
    </w:p>
    <w:p>
      <w:pPr>
        <w:pStyle w:val="37"/>
        <w:snapToGrid w:val="0"/>
        <w:ind w:firstLine="480" w:firstLineChars="200"/>
        <w:rPr>
          <w:rFonts w:hAnsi="宋体" w:eastAsia="宋体"/>
          <w:sz w:val="24"/>
          <w:szCs w:val="24"/>
        </w:rPr>
      </w:pPr>
      <w:r>
        <w:rPr>
          <w:rFonts w:hint="eastAsia" w:hAnsi="宋体" w:eastAsia="宋体"/>
          <w:sz w:val="24"/>
          <w:szCs w:val="24"/>
        </w:rPr>
        <w:t>1）未按照磋商文件规定要求密封、签署、盖章的；</w:t>
      </w:r>
    </w:p>
    <w:p>
      <w:pPr>
        <w:pStyle w:val="37"/>
        <w:snapToGrid w:val="0"/>
        <w:ind w:firstLine="480" w:firstLineChars="200"/>
        <w:rPr>
          <w:rFonts w:hAnsi="宋体" w:eastAsia="宋体"/>
          <w:sz w:val="24"/>
          <w:szCs w:val="24"/>
        </w:rPr>
      </w:pPr>
      <w:r>
        <w:rPr>
          <w:rFonts w:hint="eastAsia" w:hAnsi="宋体" w:eastAsia="宋体"/>
          <w:sz w:val="24"/>
          <w:szCs w:val="24"/>
        </w:rPr>
        <w:t>2）供应商不具备磋商文件中规定资格条件的；</w:t>
      </w:r>
    </w:p>
    <w:p>
      <w:pPr>
        <w:pStyle w:val="37"/>
        <w:snapToGrid w:val="0"/>
        <w:ind w:firstLine="480" w:firstLineChars="200"/>
        <w:rPr>
          <w:rFonts w:hAnsi="宋体" w:eastAsia="宋体"/>
          <w:sz w:val="24"/>
          <w:szCs w:val="24"/>
        </w:rPr>
      </w:pPr>
      <w:r>
        <w:rPr>
          <w:rFonts w:hint="eastAsia" w:hAnsi="宋体" w:eastAsia="宋体"/>
          <w:sz w:val="24"/>
          <w:szCs w:val="24"/>
        </w:rPr>
        <w:t>3）不符合法律、法规和磋商文件中规定的其他实质性要求的（本磋商文件中斜体且有下划线部分为实质性要求和条件）；</w:t>
      </w:r>
    </w:p>
    <w:p>
      <w:pPr>
        <w:pStyle w:val="37"/>
        <w:snapToGrid w:val="0"/>
        <w:ind w:firstLine="480" w:firstLineChars="200"/>
        <w:rPr>
          <w:rFonts w:hAnsi="宋体" w:eastAsia="宋体"/>
          <w:sz w:val="24"/>
          <w:szCs w:val="24"/>
        </w:rPr>
      </w:pPr>
      <w:r>
        <w:rPr>
          <w:rFonts w:hint="eastAsia" w:hAnsi="宋体" w:eastAsia="宋体"/>
          <w:sz w:val="24"/>
          <w:szCs w:val="24"/>
        </w:rPr>
        <w:t>4）其他法律、法规及本磋商文件规定的属响应无效的情形。</w:t>
      </w:r>
    </w:p>
    <w:p>
      <w:pPr>
        <w:pStyle w:val="40"/>
        <w:snapToGrid w:val="0"/>
        <w:rPr>
          <w:rFonts w:hAnsi="宋体" w:eastAsia="宋体"/>
          <w:sz w:val="24"/>
          <w:szCs w:val="24"/>
        </w:rPr>
      </w:pPr>
      <w:r>
        <w:rPr>
          <w:rFonts w:hint="eastAsia" w:hAnsi="宋体" w:eastAsia="宋体"/>
          <w:sz w:val="24"/>
          <w:szCs w:val="24"/>
        </w:rPr>
        <w:t>7.终止磋商采购活动的条款</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出现下列情形之一的，采购人将终止磋商采购活动，发布项目终止公告并说明原因，重新开展采购活动：</w:t>
      </w:r>
    </w:p>
    <w:p>
      <w:pPr>
        <w:pStyle w:val="37"/>
        <w:snapToGrid w:val="0"/>
        <w:ind w:firstLine="480" w:firstLineChars="200"/>
        <w:rPr>
          <w:rFonts w:hAnsi="宋体" w:eastAsia="宋体"/>
          <w:sz w:val="24"/>
          <w:szCs w:val="24"/>
        </w:rPr>
      </w:pPr>
      <w:r>
        <w:rPr>
          <w:rFonts w:hint="eastAsia" w:hAnsi="宋体" w:eastAsia="宋体"/>
          <w:sz w:val="24"/>
          <w:szCs w:val="24"/>
        </w:rPr>
        <w:t>（1）因情况变化，不再符合规定的磋商采购方式适用情形的；</w:t>
      </w:r>
    </w:p>
    <w:p>
      <w:pPr>
        <w:pStyle w:val="37"/>
        <w:snapToGrid w:val="0"/>
        <w:ind w:firstLine="480" w:firstLineChars="200"/>
        <w:rPr>
          <w:rFonts w:hAnsi="宋体" w:eastAsia="宋体"/>
          <w:sz w:val="24"/>
          <w:szCs w:val="24"/>
        </w:rPr>
      </w:pPr>
      <w:r>
        <w:rPr>
          <w:rFonts w:hint="eastAsia" w:hAnsi="宋体" w:eastAsia="宋体"/>
          <w:sz w:val="24"/>
          <w:szCs w:val="24"/>
        </w:rPr>
        <w:t>（2）出现影响采购公正的违法、违规行为的；</w:t>
      </w:r>
    </w:p>
    <w:bookmarkEnd w:id="93"/>
    <w:bookmarkEnd w:id="94"/>
    <w:bookmarkEnd w:id="95"/>
    <w:p>
      <w:pPr>
        <w:adjustRightInd w:val="0"/>
        <w:snapToGrid w:val="0"/>
        <w:spacing w:line="360" w:lineRule="auto"/>
        <w:ind w:firstLine="480" w:firstLineChars="200"/>
        <w:rPr>
          <w:rFonts w:ascii="宋体" w:hAnsi="宋体" w:cs="宋体"/>
          <w:sz w:val="24"/>
          <w:szCs w:val="24"/>
        </w:rPr>
      </w:pPr>
      <w:bookmarkStart w:id="96" w:name="_Toc16938554"/>
      <w:bookmarkStart w:id="97" w:name="_Toc20823310"/>
      <w:r>
        <w:rPr>
          <w:rFonts w:hint="eastAsia" w:ascii="宋体" w:hAnsi="宋体" w:cs="宋体"/>
          <w:sz w:val="24"/>
          <w:szCs w:val="24"/>
        </w:rPr>
        <w:t>8.确定</w:t>
      </w:r>
      <w:bookmarkEnd w:id="96"/>
      <w:bookmarkEnd w:id="97"/>
      <w:r>
        <w:rPr>
          <w:rFonts w:hint="eastAsia" w:ascii="宋体" w:hAnsi="宋体" w:cs="宋体"/>
          <w:sz w:val="24"/>
          <w:szCs w:val="24"/>
        </w:rPr>
        <w:t>成交供应商</w:t>
      </w:r>
    </w:p>
    <w:p>
      <w:pPr>
        <w:pStyle w:val="40"/>
        <w:snapToGrid w:val="0"/>
        <w:rPr>
          <w:rFonts w:hAnsi="宋体" w:eastAsia="宋体"/>
          <w:sz w:val="24"/>
          <w:szCs w:val="24"/>
        </w:rPr>
      </w:pPr>
      <w:r>
        <w:rPr>
          <w:rFonts w:hint="eastAsia" w:hAnsi="宋体" w:eastAsia="宋体"/>
          <w:sz w:val="24"/>
          <w:szCs w:val="24"/>
        </w:rPr>
        <w:t>（1）采购人在评审结束后5个工作日内，从评审报告提出的中标候选单位中，按照排序由高到低的原则确定中标候选单位。</w:t>
      </w:r>
    </w:p>
    <w:p>
      <w:pPr>
        <w:pStyle w:val="40"/>
        <w:snapToGrid w:val="0"/>
        <w:rPr>
          <w:rFonts w:hAnsi="宋体" w:eastAsia="宋体"/>
          <w:sz w:val="24"/>
          <w:szCs w:val="24"/>
        </w:rPr>
      </w:pPr>
      <w:r>
        <w:rPr>
          <w:rFonts w:hint="eastAsia" w:hAnsi="宋体" w:eastAsia="宋体"/>
          <w:sz w:val="24"/>
          <w:szCs w:val="24"/>
        </w:rPr>
        <w:t>（2）采购人在中标单位确定后2个工作日内在“皖南医学院校园网”公告中标结果。</w:t>
      </w:r>
    </w:p>
    <w:p>
      <w:pPr>
        <w:adjustRightInd w:val="0"/>
        <w:snapToGrid w:val="0"/>
        <w:spacing w:line="360" w:lineRule="auto"/>
        <w:ind w:firstLine="480" w:firstLineChars="200"/>
        <w:rPr>
          <w:rFonts w:ascii="宋体" w:hAnsi="宋体" w:cs="宋体"/>
          <w:sz w:val="24"/>
          <w:szCs w:val="24"/>
        </w:rPr>
      </w:pPr>
      <w:bookmarkStart w:id="98" w:name="_Toc120614220"/>
      <w:bookmarkStart w:id="99" w:name="_Toc403987211"/>
      <w:bookmarkStart w:id="100" w:name="_Toc20823308"/>
      <w:bookmarkStart w:id="101" w:name="_Toc513029236"/>
      <w:bookmarkStart w:id="102" w:name="_Toc16938552"/>
      <w:r>
        <w:rPr>
          <w:rFonts w:hint="eastAsia" w:ascii="宋体" w:hAnsi="宋体" w:cs="宋体"/>
          <w:sz w:val="24"/>
          <w:szCs w:val="24"/>
        </w:rPr>
        <w:t>（六）授予合同</w:t>
      </w:r>
      <w:bookmarkEnd w:id="98"/>
      <w:bookmarkEnd w:id="99"/>
    </w:p>
    <w:bookmarkEnd w:id="100"/>
    <w:bookmarkEnd w:id="101"/>
    <w:bookmarkEnd w:id="102"/>
    <w:p>
      <w:pPr>
        <w:adjustRightInd w:val="0"/>
        <w:snapToGrid w:val="0"/>
        <w:spacing w:line="360" w:lineRule="auto"/>
        <w:ind w:firstLine="480" w:firstLineChars="200"/>
        <w:rPr>
          <w:rFonts w:ascii="宋体" w:hAnsi="宋体" w:cs="宋体"/>
          <w:sz w:val="24"/>
          <w:szCs w:val="24"/>
        </w:rPr>
      </w:pPr>
      <w:bookmarkStart w:id="103" w:name="_Toc513029237"/>
      <w:bookmarkStart w:id="104" w:name="_Toc20823309"/>
      <w:bookmarkStart w:id="105" w:name="_Toc16938553"/>
      <w:r>
        <w:rPr>
          <w:rFonts w:hint="eastAsia" w:ascii="宋体" w:hAnsi="宋体" w:cs="宋体"/>
          <w:sz w:val="24"/>
          <w:szCs w:val="24"/>
        </w:rPr>
        <w:t>1.签订合同</w:t>
      </w:r>
    </w:p>
    <w:p>
      <w:pPr>
        <w:pStyle w:val="40"/>
        <w:snapToGrid w:val="0"/>
        <w:rPr>
          <w:rFonts w:hAnsi="宋体" w:eastAsia="宋体"/>
          <w:sz w:val="24"/>
          <w:szCs w:val="24"/>
        </w:rPr>
      </w:pPr>
      <w:r>
        <w:rPr>
          <w:rFonts w:hint="eastAsia" w:hAnsi="宋体" w:eastAsia="宋体"/>
          <w:sz w:val="24"/>
          <w:szCs w:val="24"/>
        </w:rPr>
        <w:t>（1）采购人与中标单位应当在中标通知书发出之日起5日内，按照磋商文件确定的合同文本以及采购标的、采购金额、技术和服务要求等事项签订采购合同。</w:t>
      </w:r>
    </w:p>
    <w:p>
      <w:pPr>
        <w:pStyle w:val="40"/>
        <w:snapToGrid w:val="0"/>
        <w:rPr>
          <w:rFonts w:hAnsi="宋体" w:eastAsia="宋体"/>
          <w:sz w:val="24"/>
          <w:szCs w:val="24"/>
        </w:rPr>
      </w:pPr>
      <w:r>
        <w:rPr>
          <w:rFonts w:hint="eastAsia" w:hAnsi="宋体" w:eastAsia="宋体"/>
          <w:sz w:val="24"/>
          <w:szCs w:val="24"/>
        </w:rPr>
        <w:t>（2）中标单位拒绝签订采购合同的，采购人可以按照从评审报告提出的中标候选单位中，按照排序由高到低的原则重新确定其他供应商作为中标单位并签订采购合同，也可以重新开展采购活动。拒绝签订采购合同的中标单位不得参加对该项目重新开展的采购活动。</w:t>
      </w:r>
    </w:p>
    <w:p>
      <w:pPr>
        <w:pStyle w:val="40"/>
        <w:snapToGrid w:val="0"/>
        <w:rPr>
          <w:rFonts w:hAnsi="宋体" w:eastAsia="宋体"/>
          <w:sz w:val="24"/>
          <w:szCs w:val="24"/>
        </w:rPr>
      </w:pPr>
      <w:r>
        <w:rPr>
          <w:rFonts w:hint="eastAsia" w:hAnsi="宋体" w:eastAsia="宋体"/>
          <w:sz w:val="24"/>
          <w:szCs w:val="24"/>
        </w:rPr>
        <w:t>（3）磋商文件、成交供应商的响应文件及磋商过程中有关澄清、承诺文件均应作为合同附件。</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2.履约保证金</w:t>
      </w:r>
    </w:p>
    <w:p>
      <w:pPr>
        <w:pStyle w:val="40"/>
        <w:snapToGrid w:val="0"/>
        <w:rPr>
          <w:rFonts w:hAnsi="宋体" w:eastAsia="宋体"/>
          <w:sz w:val="24"/>
          <w:szCs w:val="24"/>
        </w:rPr>
      </w:pPr>
      <w:r>
        <w:rPr>
          <w:rFonts w:hint="eastAsia" w:hAnsi="宋体" w:eastAsia="宋体"/>
          <w:sz w:val="24"/>
          <w:szCs w:val="24"/>
        </w:rPr>
        <w:t>（1）中标单位在收到成交通知书后，</w:t>
      </w:r>
      <w:bookmarkStart w:id="106" w:name="_Toc200451963"/>
      <w:r>
        <w:rPr>
          <w:rFonts w:hint="eastAsia" w:hAnsi="宋体" w:eastAsia="宋体"/>
          <w:sz w:val="24"/>
          <w:szCs w:val="24"/>
        </w:rPr>
        <w:t>缴纳履约保证金。</w:t>
      </w:r>
    </w:p>
    <w:bookmarkEnd w:id="106"/>
    <w:p>
      <w:pPr>
        <w:pStyle w:val="40"/>
        <w:snapToGrid w:val="0"/>
        <w:rPr>
          <w:rFonts w:hAnsi="宋体" w:eastAsia="宋体"/>
          <w:bCs/>
          <w:sz w:val="24"/>
          <w:szCs w:val="24"/>
        </w:rPr>
      </w:pPr>
      <w:r>
        <w:rPr>
          <w:rFonts w:hint="eastAsia" w:hAnsi="宋体" w:eastAsia="宋体"/>
          <w:bCs/>
          <w:sz w:val="24"/>
          <w:szCs w:val="24"/>
        </w:rPr>
        <w:t>（2）履约保证金的退还：合同有效期截止后，</w:t>
      </w:r>
      <w:r>
        <w:rPr>
          <w:rFonts w:hint="eastAsia" w:hAnsi="宋体" w:eastAsia="宋体"/>
          <w:sz w:val="24"/>
          <w:szCs w:val="24"/>
        </w:rPr>
        <w:t>中标单位自行下载、完成《皖南医学院项目履约保证金退付申请表》</w:t>
      </w:r>
      <w:r>
        <w:rPr>
          <w:rFonts w:hint="eastAsia" w:hAnsi="宋体" w:eastAsia="宋体"/>
          <w:bCs/>
          <w:sz w:val="24"/>
          <w:szCs w:val="24"/>
        </w:rPr>
        <w:t>办理保证金退还手续。</w:t>
      </w:r>
      <w:bookmarkEnd w:id="103"/>
      <w:bookmarkEnd w:id="104"/>
      <w:bookmarkEnd w:id="105"/>
    </w:p>
    <w:p>
      <w:pPr>
        <w:widowControl/>
        <w:shd w:val="clear" w:color="auto" w:fill="FFFFFF"/>
        <w:adjustRightInd w:val="0"/>
        <w:snapToGrid w:val="0"/>
        <w:spacing w:line="360" w:lineRule="auto"/>
        <w:ind w:firstLine="610" w:firstLineChars="253"/>
        <w:jc w:val="left"/>
        <w:rPr>
          <w:rFonts w:ascii="宋体" w:hAnsi="宋体" w:cs="宋体"/>
          <w:kern w:val="0"/>
          <w:sz w:val="24"/>
          <w:szCs w:val="24"/>
        </w:rPr>
      </w:pPr>
      <w:r>
        <w:rPr>
          <w:rFonts w:hint="eastAsia" w:ascii="宋体" w:hAnsi="宋体" w:cs="宋体"/>
          <w:b/>
          <w:bCs/>
          <w:kern w:val="0"/>
          <w:sz w:val="24"/>
          <w:szCs w:val="24"/>
        </w:rPr>
        <w:t>二、质疑与投诉</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本项目为我校校内统一采购项目，在采购活动中，如需质疑或投诉，按照《皖南医学院采购质疑与投诉管理办法（试行）》（见附件）进行。质疑及投诉联系方式如下：</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（一）质疑联系方式：</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1、联系部门：皖南医学院国资处；</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2、联系电话：0553-3932052；</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3、通讯地址：芜湖市高校园区文昌西路22号皖南医学院国资处。</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（二）投诉联系方式：</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1、联系部门：皖南医学院纪委办公室；</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2、联系电话：0553-3932226；</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3、通讯地址：芜湖市高校园区文昌西路22号皖南医学院纪委办公室。</w:t>
      </w:r>
    </w:p>
    <w:p>
      <w:pPr>
        <w:pStyle w:val="40"/>
        <w:snapToGrid w:val="0"/>
        <w:ind w:right="280" w:rightChars="100" w:firstLine="560"/>
        <w:rPr>
          <w:rFonts w:ascii="仿宋_GB2312" w:hAnsi="宋体" w:eastAsia="仿宋_GB2312"/>
          <w:bCs/>
          <w:szCs w:val="28"/>
        </w:rPr>
      </w:pPr>
    </w:p>
    <w:p>
      <w:pPr>
        <w:pStyle w:val="40"/>
        <w:snapToGrid w:val="0"/>
        <w:ind w:right="280" w:rightChars="100" w:firstLine="560"/>
        <w:rPr>
          <w:rFonts w:ascii="仿宋_GB2312" w:hAnsi="宋体" w:eastAsia="仿宋_GB2312"/>
          <w:bCs/>
          <w:szCs w:val="28"/>
        </w:rPr>
      </w:pPr>
    </w:p>
    <w:p>
      <w:bookmarkStart w:id="107" w:name="_Toc49763002"/>
      <w:r>
        <w:rPr>
          <w:rFonts w:hint="eastAsia" w:ascii="华文中宋" w:hAnsi="华文中宋" w:eastAsia="华文中宋"/>
        </w:rPr>
        <w:br w:type="page"/>
      </w:r>
    </w:p>
    <w:bookmarkEnd w:id="107"/>
    <w:p>
      <w:pPr>
        <w:pStyle w:val="9"/>
      </w:pPr>
    </w:p>
    <w:p>
      <w:pPr>
        <w:pStyle w:val="2"/>
        <w:numPr>
          <w:ilvl w:val="0"/>
          <w:numId w:val="2"/>
        </w:numPr>
        <w:snapToGrid w:val="0"/>
        <w:spacing w:before="0" w:after="0"/>
        <w:ind w:left="947" w:hanging="947"/>
        <w:jc w:val="center"/>
        <w:rPr>
          <w:rFonts w:ascii="华文中宋" w:hAnsi="华文中宋" w:eastAsia="华文中宋"/>
          <w:bCs w:val="0"/>
          <w:color w:val="auto"/>
        </w:rPr>
      </w:pPr>
      <w:bookmarkStart w:id="108" w:name="_Toc49763003"/>
      <w:r>
        <w:rPr>
          <w:rFonts w:hint="eastAsia" w:ascii="华文中宋" w:hAnsi="华文中宋" w:eastAsia="华文中宋"/>
          <w:bCs w:val="0"/>
          <w:color w:val="auto"/>
        </w:rPr>
        <w:t xml:space="preserve"> 项目需求</w:t>
      </w:r>
      <w:bookmarkEnd w:id="108"/>
    </w:p>
    <w:p>
      <w:pPr>
        <w:spacing w:line="560" w:lineRule="exact"/>
        <w:ind w:firstLine="643" w:firstLineChars="200"/>
        <w:jc w:val="left"/>
        <w:rPr>
          <w:rFonts w:hint="eastAsia" w:ascii="仿宋_GB2312" w:hAnsi="仿宋" w:eastAsia="仿宋_GB2312"/>
          <w:b/>
          <w:bCs/>
          <w:sz w:val="32"/>
          <w:szCs w:val="32"/>
        </w:rPr>
      </w:pPr>
      <w:r>
        <w:rPr>
          <w:rFonts w:hint="eastAsia" w:ascii="仿宋_GB2312" w:hAnsi="仿宋" w:eastAsia="仿宋_GB2312"/>
          <w:b/>
          <w:bCs/>
          <w:sz w:val="32"/>
          <w:szCs w:val="32"/>
        </w:rPr>
        <w:t>（1）技术要求</w:t>
      </w:r>
    </w:p>
    <w:p>
      <w:pPr>
        <w:spacing w:line="560" w:lineRule="exact"/>
        <w:ind w:firstLine="600" w:firstLineChars="200"/>
        <w:rPr>
          <w:rFonts w:ascii="仿宋_GB2312" w:hAnsi="黑体" w:eastAsia="仿宋_GB2312"/>
          <w:color w:val="000000"/>
          <w:sz w:val="30"/>
          <w:szCs w:val="30"/>
          <w:shd w:val="clear" w:color="auto" w:fill="FFFFFF"/>
        </w:rPr>
      </w:pPr>
      <w:r>
        <w:rPr>
          <w:rFonts w:hint="eastAsia" w:ascii="仿宋_GB2312" w:hAnsi="黑体" w:eastAsia="仿宋_GB2312"/>
          <w:color w:val="000000"/>
          <w:sz w:val="30"/>
          <w:szCs w:val="30"/>
          <w:shd w:val="clear" w:color="auto" w:fill="FFFFFF"/>
        </w:rPr>
        <w:t>1.站群系统应符合高校信息发布、教学、科研、管理、社会服务、国际合作、信息公开等要求，框架结构合理，信息查询导航有效，获取信息高效便捷。</w:t>
      </w:r>
    </w:p>
    <w:p>
      <w:pPr>
        <w:spacing w:line="560" w:lineRule="exact"/>
        <w:ind w:firstLine="600" w:firstLineChars="200"/>
        <w:rPr>
          <w:rFonts w:hint="eastAsia" w:ascii="仿宋_GB2312" w:hAnsi="黑体" w:eastAsia="仿宋_GB2312"/>
          <w:color w:val="000000"/>
          <w:sz w:val="30"/>
          <w:szCs w:val="30"/>
          <w:shd w:val="clear" w:color="auto" w:fill="FFFFFF"/>
        </w:rPr>
      </w:pPr>
      <w:r>
        <w:rPr>
          <w:rFonts w:hint="eastAsia" w:ascii="仿宋_GB2312" w:hAnsi="黑体" w:eastAsia="仿宋_GB2312"/>
          <w:color w:val="000000"/>
          <w:sz w:val="30"/>
          <w:szCs w:val="30"/>
          <w:shd w:val="clear" w:color="auto" w:fill="FFFFFF"/>
        </w:rPr>
        <w:t>2</w:t>
      </w:r>
      <w:r>
        <w:rPr>
          <w:rFonts w:ascii="仿宋_GB2312" w:hAnsi="黑体" w:eastAsia="仿宋_GB2312"/>
          <w:color w:val="000000"/>
          <w:sz w:val="30"/>
          <w:szCs w:val="30"/>
          <w:shd w:val="clear" w:color="auto" w:fill="FFFFFF"/>
        </w:rPr>
        <w:t>.</w:t>
      </w:r>
      <w:r>
        <w:rPr>
          <w:rFonts w:hint="eastAsia" w:ascii="仿宋_GB2312" w:hAnsi="黑体" w:eastAsia="仿宋_GB2312"/>
          <w:color w:val="000000"/>
          <w:sz w:val="30"/>
          <w:szCs w:val="30"/>
          <w:shd w:val="clear" w:color="auto" w:fill="FFFFFF"/>
        </w:rPr>
        <w:t>完成现有网站平台所有系统数据的迁移，包括主站及所有二级子站所有数据全面迁移及梳理，历史存量数据无缝对接。</w:t>
      </w:r>
    </w:p>
    <w:p>
      <w:pPr>
        <w:spacing w:line="560" w:lineRule="exact"/>
        <w:ind w:firstLine="600" w:firstLineChars="200"/>
        <w:rPr>
          <w:rFonts w:hint="eastAsia" w:ascii="仿宋_GB2312" w:hAnsi="黑体" w:eastAsia="仿宋_GB2312"/>
          <w:color w:val="000000"/>
          <w:sz w:val="30"/>
          <w:szCs w:val="30"/>
          <w:shd w:val="clear" w:color="auto" w:fill="FFFFFF"/>
        </w:rPr>
      </w:pPr>
      <w:r>
        <w:rPr>
          <w:rFonts w:hint="eastAsia" w:ascii="仿宋_GB2312" w:hAnsi="黑体" w:eastAsia="仿宋_GB2312"/>
          <w:color w:val="000000"/>
          <w:sz w:val="30"/>
          <w:szCs w:val="30"/>
          <w:shd w:val="clear" w:color="auto" w:fill="FFFFFF"/>
        </w:rPr>
        <w:t>3.系统需与学校智慧校园平台对接，实现数据交换和信息互通。相关接口开发、安装、对接、数据迁移传输、维保等费用由成交供应商承担。</w:t>
      </w:r>
    </w:p>
    <w:p>
      <w:pPr>
        <w:spacing w:line="560" w:lineRule="exact"/>
        <w:ind w:firstLine="600" w:firstLineChars="200"/>
        <w:rPr>
          <w:rFonts w:ascii="仿宋_GB2312" w:hAnsi="黑体" w:eastAsia="仿宋_GB2312"/>
          <w:color w:val="000000"/>
          <w:sz w:val="30"/>
          <w:szCs w:val="30"/>
          <w:shd w:val="clear" w:color="auto" w:fill="FFFFFF"/>
        </w:rPr>
      </w:pPr>
      <w:r>
        <w:rPr>
          <w:rFonts w:hint="eastAsia" w:ascii="仿宋_GB2312" w:hAnsi="黑体" w:eastAsia="仿宋_GB2312"/>
          <w:color w:val="000000"/>
          <w:sz w:val="30"/>
          <w:szCs w:val="30"/>
          <w:shd w:val="clear" w:color="auto" w:fill="FFFFFF"/>
        </w:rPr>
        <w:t>4</w:t>
      </w:r>
      <w:r>
        <w:rPr>
          <w:rFonts w:ascii="仿宋_GB2312" w:hAnsi="黑体" w:eastAsia="仿宋_GB2312"/>
          <w:color w:val="000000"/>
          <w:sz w:val="30"/>
          <w:szCs w:val="30"/>
          <w:shd w:val="clear" w:color="auto" w:fill="FFFFFF"/>
        </w:rPr>
        <w:t>.</w:t>
      </w:r>
      <w:r>
        <w:rPr>
          <w:rFonts w:hint="eastAsia" w:ascii="仿宋_GB2312" w:hAnsi="黑体" w:eastAsia="仿宋_GB2312"/>
          <w:color w:val="000000"/>
          <w:sz w:val="30"/>
          <w:szCs w:val="30"/>
          <w:shd w:val="clear" w:color="auto" w:fill="FFFFFF"/>
        </w:rPr>
        <w:t>整体项目须在</w:t>
      </w:r>
      <w:r>
        <w:rPr>
          <w:rFonts w:hint="eastAsia" w:ascii="仿宋_GB2312" w:hAnsi="黑体" w:eastAsia="仿宋_GB2312"/>
          <w:color w:val="000000"/>
          <w:sz w:val="30"/>
          <w:szCs w:val="30"/>
          <w:shd w:val="clear" w:color="auto" w:fill="FFFFFF"/>
          <w:lang w:val="en-US" w:eastAsia="zh-CN"/>
        </w:rPr>
        <w:t>5</w:t>
      </w:r>
      <w:r>
        <w:rPr>
          <w:rFonts w:hint="eastAsia" w:ascii="仿宋_GB2312" w:hAnsi="黑体" w:eastAsia="仿宋_GB2312"/>
          <w:color w:val="000000"/>
          <w:sz w:val="30"/>
          <w:szCs w:val="30"/>
          <w:shd w:val="clear" w:color="auto" w:fill="FFFFFF"/>
        </w:rPr>
        <w:t>0天内完成网站整体系统部署、平台搭建、数据迁移、信息整合和上传等工作。</w:t>
      </w:r>
    </w:p>
    <w:p>
      <w:pPr>
        <w:spacing w:line="560" w:lineRule="exact"/>
        <w:ind w:firstLine="600" w:firstLineChars="200"/>
        <w:rPr>
          <w:rFonts w:hint="eastAsia" w:ascii="仿宋_GB2312" w:hAnsi="黑体" w:eastAsia="仿宋_GB2312"/>
          <w:color w:val="000000"/>
          <w:sz w:val="30"/>
          <w:szCs w:val="30"/>
          <w:shd w:val="clear" w:color="auto" w:fill="FFFFFF"/>
        </w:rPr>
      </w:pPr>
      <w:r>
        <w:rPr>
          <w:rFonts w:hint="eastAsia" w:ascii="仿宋_GB2312" w:hAnsi="黑体" w:eastAsia="仿宋_GB2312"/>
          <w:color w:val="000000"/>
          <w:sz w:val="30"/>
          <w:szCs w:val="30"/>
          <w:shd w:val="clear" w:color="auto" w:fill="FFFFFF"/>
        </w:rPr>
        <w:t>5</w:t>
      </w:r>
      <w:r>
        <w:rPr>
          <w:rFonts w:ascii="仿宋_GB2312" w:hAnsi="黑体" w:eastAsia="仿宋_GB2312"/>
          <w:color w:val="000000"/>
          <w:sz w:val="30"/>
          <w:szCs w:val="30"/>
          <w:shd w:val="clear" w:color="auto" w:fill="FFFFFF"/>
        </w:rPr>
        <w:t>.</w:t>
      </w:r>
      <w:r>
        <w:rPr>
          <w:rFonts w:hint="eastAsia" w:ascii="仿宋_GB2312" w:hAnsi="黑体" w:eastAsia="仿宋_GB2312"/>
          <w:color w:val="000000"/>
          <w:sz w:val="30"/>
          <w:szCs w:val="30"/>
          <w:shd w:val="clear" w:color="auto" w:fill="FFFFFF"/>
        </w:rPr>
        <w:t>系统整体架构符合网络安全等保测评二级要求，系统正式上线前应当开展代码审计、安全评估与渗透测试并提供报告，能够配合等保测评公司开展等保测评，积极开展排查网络数据安全风险并整改问题。</w:t>
      </w:r>
    </w:p>
    <w:p>
      <w:pPr>
        <w:spacing w:line="560" w:lineRule="exact"/>
        <w:ind w:firstLine="600" w:firstLineChars="200"/>
        <w:jc w:val="left"/>
        <w:rPr>
          <w:rFonts w:hint="eastAsia" w:ascii="仿宋_GB2312" w:hAnsi="黑体" w:eastAsia="仿宋_GB2312"/>
          <w:color w:val="000000"/>
          <w:sz w:val="30"/>
          <w:szCs w:val="30"/>
          <w:shd w:val="clear" w:color="auto" w:fill="FFFFFF"/>
        </w:rPr>
      </w:pPr>
      <w:r>
        <w:rPr>
          <w:rFonts w:hint="eastAsia" w:ascii="仿宋_GB2312" w:hAnsi="黑体" w:eastAsia="仿宋_GB2312"/>
          <w:color w:val="000000"/>
          <w:sz w:val="30"/>
          <w:szCs w:val="30"/>
          <w:shd w:val="clear" w:color="auto" w:fill="FFFFFF"/>
        </w:rPr>
        <w:t>6.系统需支持国产CPU、操作系统、数据库和中间件部署。</w:t>
      </w:r>
    </w:p>
    <w:p>
      <w:pPr>
        <w:spacing w:line="560" w:lineRule="exact"/>
        <w:ind w:firstLine="600" w:firstLineChars="200"/>
        <w:jc w:val="left"/>
        <w:rPr>
          <w:rFonts w:hint="eastAsia" w:ascii="仿宋_GB2312" w:hAnsi="黑体" w:eastAsia="仿宋_GB2312"/>
          <w:color w:val="000000"/>
          <w:sz w:val="30"/>
          <w:szCs w:val="30"/>
          <w:shd w:val="clear" w:color="auto" w:fill="FFFFFF"/>
        </w:rPr>
      </w:pPr>
    </w:p>
    <w:tbl>
      <w:tblPr>
        <w:tblStyle w:val="27"/>
        <w:tblW w:w="0" w:type="auto"/>
        <w:tblInd w:w="0" w:type="dxa"/>
        <w:tblLayout w:type="fixed"/>
        <w:tblCellMar>
          <w:top w:w="0" w:type="dxa"/>
          <w:left w:w="108" w:type="dxa"/>
          <w:bottom w:w="0" w:type="dxa"/>
          <w:right w:w="108" w:type="dxa"/>
        </w:tblCellMar>
      </w:tblPr>
      <w:tblGrid>
        <w:gridCol w:w="458"/>
        <w:gridCol w:w="1898"/>
        <w:gridCol w:w="7496"/>
      </w:tblGrid>
      <w:tr>
        <w:tblPrEx>
          <w:tblCellMar>
            <w:top w:w="0" w:type="dxa"/>
            <w:left w:w="108" w:type="dxa"/>
            <w:bottom w:w="0" w:type="dxa"/>
            <w:right w:w="108" w:type="dxa"/>
          </w:tblCellMar>
        </w:tblPrEx>
        <w:trPr>
          <w:trHeight w:val="822" w:hRule="atLeast"/>
        </w:trPr>
        <w:tc>
          <w:tcPr>
            <w:tcW w:w="23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962"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功能模块（要求）</w:t>
            </w:r>
          </w:p>
        </w:tc>
        <w:tc>
          <w:tcPr>
            <w:tcW w:w="3807"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技术参数</w:t>
            </w:r>
          </w:p>
        </w:tc>
      </w:tr>
      <w:tr>
        <w:tblPrEx>
          <w:tblCellMar>
            <w:top w:w="0" w:type="dxa"/>
            <w:left w:w="108" w:type="dxa"/>
            <w:bottom w:w="0" w:type="dxa"/>
            <w:right w:w="108" w:type="dxa"/>
          </w:tblCellMar>
        </w:tblPrEx>
        <w:trPr>
          <w:trHeight w:val="822" w:hRule="atLeast"/>
        </w:trPr>
        <w:tc>
          <w:tcPr>
            <w:tcW w:w="231"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962"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总体技术要求</w:t>
            </w: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 全媒体管理平台软件要求采用B/S结构设计、JAVA语言开发、J2EE技术架构。</w:t>
            </w:r>
          </w:p>
        </w:tc>
      </w:tr>
      <w:tr>
        <w:tblPrEx>
          <w:tblCellMar>
            <w:top w:w="0" w:type="dxa"/>
            <w:left w:w="108" w:type="dxa"/>
            <w:bottom w:w="0" w:type="dxa"/>
            <w:right w:w="108" w:type="dxa"/>
          </w:tblCellMar>
        </w:tblPrEx>
        <w:trPr>
          <w:trHeight w:val="88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(2) 系统通过一套平台实现微信、微博、网站等全媒体的管理，无需重复多次登录。</w:t>
            </w:r>
          </w:p>
        </w:tc>
      </w:tr>
      <w:tr>
        <w:tblPrEx>
          <w:tblCellMar>
            <w:top w:w="0" w:type="dxa"/>
            <w:left w:w="108" w:type="dxa"/>
            <w:bottom w:w="0" w:type="dxa"/>
            <w:right w:w="108" w:type="dxa"/>
          </w:tblCellMar>
        </w:tblPrEx>
        <w:trPr>
          <w:trHeight w:val="1680"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(3) 系统需具有良好的跨平台特性，支持基于主流Linux平台搭建；支持Tomcat、Apache等应用服务器；支持Oracle、SQLServer、MySQL、PostgreSQL等多种主流数据库。</w:t>
            </w:r>
            <w:r>
              <w:rPr>
                <w:sz w:val="24"/>
              </w:rPr>
              <w:t>系统本地化部署需支持国产化和非国产设 备，包括国产操作系统、数据库、中间件、硬件等。</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6"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(4) 兼容微软IE、谷歌Chrome、360浏览器、搜狗浏览器、苹果Safari、QQ浏览器、火狐Firefox等多种浏览器。</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6"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(5) 支持主流建站方式，可视化网站管理平台；组件化管理，鼠标拖拽技术或智能设计技术建站。</w:t>
            </w:r>
          </w:p>
        </w:tc>
      </w:tr>
      <w:tr>
        <w:tblPrEx>
          <w:tblCellMar>
            <w:top w:w="0" w:type="dxa"/>
            <w:left w:w="108" w:type="dxa"/>
            <w:bottom w:w="0" w:type="dxa"/>
            <w:right w:w="108" w:type="dxa"/>
          </w:tblCellMar>
        </w:tblPrEx>
        <w:trPr>
          <w:trHeight w:val="1041"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6"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(6) 系统要求支持移动网站建设，实现网站页面和文章内容、视频、图片等资源的全适配，兼容全部主流智能手机的操作系统：包括苹果IOS、安卓Android等，兼容不同设备的分辨率。</w:t>
            </w:r>
          </w:p>
        </w:tc>
      </w:tr>
      <w:tr>
        <w:tblPrEx>
          <w:tblCellMar>
            <w:top w:w="0" w:type="dxa"/>
            <w:left w:w="108" w:type="dxa"/>
            <w:bottom w:w="0" w:type="dxa"/>
            <w:right w:w="108" w:type="dxa"/>
          </w:tblCellMar>
        </w:tblPrEx>
        <w:trPr>
          <w:trHeight w:val="1056"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6"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(7) 系统需要具有完善的权限和用户管理体系，可以适应单位内各类角色管理员的管理和使用，提供与统一身份认证系统的数据接口，并具有集成能力。</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6"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(8) 平台使用灵活方便，并预留多种扩展、开发接口（XML、JSON、WebService等）。</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6"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(9) 系统后台数据库及表结构字段清晰易懂，有明确的注释标记。</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6"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(10) 系统后台支持一键换肤，可内置多套后台肤色供网站/新媒体管理员进行挑选，符合用户使用审美习惯。</w:t>
            </w:r>
          </w:p>
        </w:tc>
      </w:tr>
      <w:tr>
        <w:tblPrEx>
          <w:tblCellMar>
            <w:top w:w="0" w:type="dxa"/>
            <w:left w:w="108" w:type="dxa"/>
            <w:bottom w:w="0" w:type="dxa"/>
            <w:right w:w="108" w:type="dxa"/>
          </w:tblCellMar>
        </w:tblPrEx>
        <w:trPr>
          <w:trHeight w:val="1056"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6"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(11) 系统安装可根据单位内实际情况选择不同的部署方式，要求支持常见的几类部署方式（单服务器部署、多服务器部署、虚拟化部署等），可实现动态服务器和静态服务器分开部署。</w:t>
            </w:r>
          </w:p>
        </w:tc>
      </w:tr>
      <w:tr>
        <w:tblPrEx>
          <w:tblCellMar>
            <w:top w:w="0" w:type="dxa"/>
            <w:left w:w="108" w:type="dxa"/>
            <w:bottom w:w="0" w:type="dxa"/>
            <w:right w:w="108" w:type="dxa"/>
          </w:tblCellMar>
        </w:tblPrEx>
        <w:trPr>
          <w:trHeight w:val="1086"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6"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highlight w:val="none"/>
              </w:rPr>
              <w:t>(12) ▲系统应支持反向代理设置，方便获取客户端的真实IP地址，能够添加可信任的反向代理。对于反向代理服务器，支持添加至可信列表。</w:t>
            </w:r>
            <w:r>
              <w:rPr>
                <w:sz w:val="24"/>
                <w:highlight w:val="none"/>
              </w:rPr>
              <w:t>(</w:t>
            </w:r>
            <w:r>
              <w:rPr>
                <w:b/>
                <w:sz w:val="24"/>
                <w:highlight w:val="none"/>
              </w:rPr>
              <w:t>响应文件中提供实现该项功能的截图</w:t>
            </w:r>
            <w:r>
              <w:rPr>
                <w:sz w:val="24"/>
                <w:highlight w:val="none"/>
              </w:rPr>
              <w:t>）</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6"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(13) 系统要求具备在线补丁更新机制，可以实现在线安全性加固和升级。</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6"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(14) 系统支持虚拟目录和虚拟主机方式，支持离线/连线状态下的篡改保护。</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6"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(15) 系统针对IPv6提供全面访问支持，同时支持基于IPv4和IPv6地址的访问控制，访问记录及统计。</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6"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(16) 系统全面支持HTTPS安全传输协议。</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6"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(17) 提供针对售后服务提供成熟的信息化客户服务系统，系统业务显示用户客户售后服务，实现客户问题处理的显性化跟踪处理。</w:t>
            </w:r>
          </w:p>
        </w:tc>
      </w:tr>
      <w:tr>
        <w:tblPrEx>
          <w:tblCellMar>
            <w:top w:w="0" w:type="dxa"/>
            <w:left w:w="108" w:type="dxa"/>
            <w:bottom w:w="0" w:type="dxa"/>
            <w:right w:w="108" w:type="dxa"/>
          </w:tblCellMar>
        </w:tblPrEx>
        <w:trPr>
          <w:trHeight w:val="1353"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6"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(18) 提供服务小程序，解决服务入口统一的问题，小程序需要具备报修/首页结构变化监测/报修任务查看等功能，能够在服务小程序上实现问题快速报修，支持语音、文字、图片方式进行问题反馈。同时集成网站群运行与管理的知识体系，满足使用者日常维护服务的需求。</w:t>
            </w:r>
          </w:p>
        </w:tc>
      </w:tr>
      <w:tr>
        <w:tblPrEx>
          <w:tblCellMar>
            <w:top w:w="0" w:type="dxa"/>
            <w:left w:w="108" w:type="dxa"/>
            <w:bottom w:w="0" w:type="dxa"/>
            <w:right w:w="108" w:type="dxa"/>
          </w:tblCellMar>
        </w:tblPrEx>
        <w:trPr>
          <w:trHeight w:val="67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6"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(19)系统使用成熟稳定的产品，具有国家相关资质认证。</w:t>
            </w:r>
          </w:p>
        </w:tc>
      </w:tr>
      <w:tr>
        <w:tblPrEx>
          <w:tblCellMar>
            <w:top w:w="0" w:type="dxa"/>
            <w:left w:w="108" w:type="dxa"/>
            <w:bottom w:w="0" w:type="dxa"/>
            <w:right w:w="108" w:type="dxa"/>
          </w:tblCellMar>
        </w:tblPrEx>
        <w:trPr>
          <w:trHeight w:val="64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6"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（20）系统采用UTF-8国际编码，支持多国语言前台展示。</w:t>
            </w:r>
          </w:p>
        </w:tc>
      </w:tr>
      <w:tr>
        <w:tblPrEx>
          <w:tblCellMar>
            <w:top w:w="0" w:type="dxa"/>
            <w:left w:w="108" w:type="dxa"/>
            <w:bottom w:w="0" w:type="dxa"/>
            <w:right w:w="108" w:type="dxa"/>
          </w:tblCellMar>
        </w:tblPrEx>
        <w:trPr>
          <w:trHeight w:val="627" w:hRule="atLeast"/>
        </w:trPr>
        <w:tc>
          <w:tcPr>
            <w:tcW w:w="231"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962"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网站群管理</w:t>
            </w:r>
          </w:p>
        </w:tc>
        <w:tc>
          <w:tcPr>
            <w:tcW w:w="3806"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1、站点管理</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6"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 系统具有对网站的新增、删除、停止、发布等方面的功能，并提供网站检索、网站排序功能。</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6"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(2) 所有站点使用一套软件统一管理，各站点可以有独立的域名、Logo、栏目结构、功能组件、风格模板和后台管理。</w:t>
            </w:r>
          </w:p>
        </w:tc>
      </w:tr>
      <w:tr>
        <w:tblPrEx>
          <w:tblCellMar>
            <w:top w:w="0" w:type="dxa"/>
            <w:left w:w="108" w:type="dxa"/>
            <w:bottom w:w="0" w:type="dxa"/>
            <w:right w:w="108" w:type="dxa"/>
          </w:tblCellMar>
        </w:tblPrEx>
        <w:trPr>
          <w:trHeight w:val="1353"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6"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(3) 每个站点均可以建立自己的子网站，上级站点可以创建、授权、管理下级站点，下级站点可以进一步管理其子站点；子站点要能支持在上级站点下以虚拟目录的形式发布，也可以支持独立域名或二级域名。</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6"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(4) 各级站点展示和管理方式直观，可以通过平铺图标或树状结构的形式展现，便于管理员管理网站和对其下属子站进行配置和调整。</w:t>
            </w:r>
          </w:p>
        </w:tc>
      </w:tr>
      <w:tr>
        <w:tblPrEx>
          <w:tblCellMar>
            <w:top w:w="0" w:type="dxa"/>
            <w:left w:w="108" w:type="dxa"/>
            <w:bottom w:w="0" w:type="dxa"/>
            <w:right w:w="108" w:type="dxa"/>
          </w:tblCellMar>
        </w:tblPrEx>
        <w:trPr>
          <w:trHeight w:val="1011"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6"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(5) 系统要求具有主站和子站之间的信息传递机制，打破存在于各网站间的信息孤岛，支持不同站点之间的数据共享，实现站点之间信息推送、跨站发布、跨站引用等信息共享模式。可进行跨站稿件投递及审核同步，实现信息共享。</w:t>
            </w:r>
          </w:p>
        </w:tc>
      </w:tr>
      <w:tr>
        <w:tblPrEx>
          <w:tblCellMar>
            <w:top w:w="0" w:type="dxa"/>
            <w:left w:w="108" w:type="dxa"/>
            <w:bottom w:w="0" w:type="dxa"/>
            <w:right w:w="108" w:type="dxa"/>
          </w:tblCellMar>
        </w:tblPrEx>
        <w:trPr>
          <w:trHeight w:val="1041"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6"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(6) 系统提供一键关停功能，可对当前平台站点统一进行关停，当处于一键关停状态中，外界无法针对关停站点进行访问，同时支持一键启用，对关停站点进行恢复。</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6"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(7) 能够实现针对当前站点批量实现停止维护、停止浏览、停止维护和浏览、正常运转等多种管控模式。</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6"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(8) 网站支持动态发布及静态发布，用户可灵活选择发布方式，静态页面自动生成，在对站点模板、栏目或文章做任何修改后，静态页面能自动增量更新，无需手工触发。</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6"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(9) 站点切换提供站点树、站点列表、站点搜索三种展示形式，帮助学校明确站点之间从属关系，精准查找站点。</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6"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(10) 网站静态化管理应该采用断点机制，新闻栏目中插入某条信息之后，展示页面应该即时更新信息排序。</w:t>
            </w:r>
          </w:p>
        </w:tc>
      </w:tr>
      <w:tr>
        <w:tblPrEx>
          <w:tblCellMar>
            <w:top w:w="0" w:type="dxa"/>
            <w:left w:w="108" w:type="dxa"/>
            <w:bottom w:w="0" w:type="dxa"/>
            <w:right w:w="108" w:type="dxa"/>
          </w:tblCellMar>
        </w:tblPrEx>
        <w:trPr>
          <w:trHeight w:val="627"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6"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(11) 支持网站一键变灰，支持分别对主站首页、主站全站、所有子站首页、全站全页等不同变灰功能。</w:t>
            </w:r>
          </w:p>
        </w:tc>
      </w:tr>
      <w:tr>
        <w:tblPrEx>
          <w:tblCellMar>
            <w:top w:w="0" w:type="dxa"/>
            <w:left w:w="108" w:type="dxa"/>
            <w:bottom w:w="0" w:type="dxa"/>
            <w:right w:w="108" w:type="dxa"/>
          </w:tblCellMar>
        </w:tblPrEx>
        <w:trPr>
          <w:trHeight w:val="567"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6"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(12) 网站特殊时期可切换至单位内运行。</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6"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highlight w:val="none"/>
              </w:rPr>
              <w:t>(13) ▲支持站点启停生命周期管理，设置站点自动启停计划，系统自动执行站点的启停时间</w:t>
            </w:r>
            <w:r>
              <w:rPr>
                <w:rFonts w:hint="eastAsia" w:ascii="Times New Roman" w:hAnsi="Times New Roman" w:eastAsia="宋体" w:cs="Times New Roman"/>
                <w:b/>
                <w:bCs/>
                <w:sz w:val="24"/>
                <w:highlight w:val="none"/>
              </w:rPr>
              <w:t>。(响应文件中提供实现该项功能的截图）</w:t>
            </w:r>
          </w:p>
        </w:tc>
      </w:tr>
      <w:tr>
        <w:tblPrEx>
          <w:tblCellMar>
            <w:top w:w="0" w:type="dxa"/>
            <w:left w:w="108" w:type="dxa"/>
            <w:bottom w:w="0" w:type="dxa"/>
            <w:right w:w="108" w:type="dxa"/>
          </w:tblCellMar>
        </w:tblPrEx>
        <w:trPr>
          <w:trHeight w:val="70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6"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2、用户权限与角色</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6"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 可以实现对所有用户的统一管理，可设置其能够管理的网站及所属部门或组织机构。</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6"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(2) 系统支持分级、细粒度的权限划分，功能权限分配可详细到每一个菜单，内容管理权限可以细化到对每一个栏目的不同操作。</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6"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(3) 可设置系统级别和部门级别角色，每个角色具备不同的权限，能够针对角色指派成员。</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6"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(4) 支持对部门进行管理，可配置部门相关基础信息，进行增删改等相关操作，可以设置部门相关联站点。</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6"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（5） 系统可通过设置系统关注人，实现包含：系统备份、系统体检、应用防火墙、运维监控、系统补丁、系统授权监控、防篡改、危险文件检测等信息的推送和提醒。</w:t>
            </w:r>
          </w:p>
        </w:tc>
      </w:tr>
      <w:tr>
        <w:tblPrEx>
          <w:tblCellMar>
            <w:top w:w="0" w:type="dxa"/>
            <w:left w:w="108" w:type="dxa"/>
            <w:bottom w:w="0" w:type="dxa"/>
            <w:right w:w="108" w:type="dxa"/>
          </w:tblCellMar>
        </w:tblPrEx>
        <w:trPr>
          <w:trHeight w:val="822" w:hRule="atLeast"/>
        </w:trPr>
        <w:tc>
          <w:tcPr>
            <w:tcW w:w="231" w:type="pct"/>
            <w:vMerge w:val="restart"/>
            <w:tcBorders>
              <w:top w:val="nil"/>
              <w:left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962" w:type="pct"/>
            <w:vMerge w:val="restart"/>
            <w:tcBorders>
              <w:top w:val="nil"/>
              <w:left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网站建设</w:t>
            </w:r>
          </w:p>
        </w:tc>
        <w:tc>
          <w:tcPr>
            <w:tcW w:w="3806"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 系统需实现模板、栏目、资料三者分离，后台资料添加不会影响前台页面的正常展示。</w:t>
            </w:r>
          </w:p>
        </w:tc>
      </w:tr>
      <w:tr>
        <w:tblPrEx>
          <w:tblCellMar>
            <w:top w:w="0" w:type="dxa"/>
            <w:left w:w="108" w:type="dxa"/>
            <w:bottom w:w="0" w:type="dxa"/>
            <w:right w:w="108" w:type="dxa"/>
          </w:tblCellMar>
        </w:tblPrEx>
        <w:trPr>
          <w:trHeight w:val="822" w:hRule="atLeast"/>
        </w:trPr>
        <w:tc>
          <w:tcPr>
            <w:tcW w:w="231"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highlight w:val="none"/>
              </w:rPr>
              <w:t>(2) ▲系统支持对官方建设网站进行标记认证，规避后续二级单位自发建站，导致技术不规范且未经过安全评审的问题，经过安全评审后的网站可实现加V标记。</w:t>
            </w:r>
            <w:r>
              <w:rPr>
                <w:rFonts w:hint="eastAsia" w:ascii="Times New Roman" w:hAnsi="Times New Roman" w:eastAsia="宋体" w:cs="Times New Roman"/>
                <w:b/>
                <w:bCs/>
                <w:sz w:val="24"/>
                <w:highlight w:val="none"/>
              </w:rPr>
              <w:t>(响应文件中提供实现该项功能的截图）</w:t>
            </w:r>
          </w:p>
        </w:tc>
      </w:tr>
      <w:tr>
        <w:tblPrEx>
          <w:tblCellMar>
            <w:top w:w="0" w:type="dxa"/>
            <w:left w:w="108" w:type="dxa"/>
            <w:bottom w:w="0" w:type="dxa"/>
            <w:right w:w="108" w:type="dxa"/>
          </w:tblCellMar>
        </w:tblPrEx>
        <w:trPr>
          <w:trHeight w:val="822" w:hRule="atLeast"/>
        </w:trPr>
        <w:tc>
          <w:tcPr>
            <w:tcW w:w="231"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(3) 要求支持网站原样迁移，可以通过输入网址下载页面文件、图片、样式表等数据，并保持页面样式和兼容性。</w:t>
            </w:r>
          </w:p>
        </w:tc>
      </w:tr>
      <w:tr>
        <w:tblPrEx>
          <w:tblCellMar>
            <w:top w:w="0" w:type="dxa"/>
            <w:left w:w="108" w:type="dxa"/>
            <w:bottom w:w="0" w:type="dxa"/>
            <w:right w:w="108" w:type="dxa"/>
          </w:tblCellMar>
        </w:tblPrEx>
        <w:trPr>
          <w:trHeight w:val="822" w:hRule="atLeast"/>
        </w:trPr>
        <w:tc>
          <w:tcPr>
            <w:tcW w:w="231"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(4) 在系统使用设计好的HTML模板进行制作时，兼容所有主流设计工具生成的HTML模板，直接选择当前HTML文件进行上传，不需要重新进行RAR或ZIP打包，避免打包层级过多系统无法识别导入。</w:t>
            </w:r>
          </w:p>
        </w:tc>
      </w:tr>
      <w:tr>
        <w:tblPrEx>
          <w:tblCellMar>
            <w:top w:w="0" w:type="dxa"/>
            <w:left w:w="108" w:type="dxa"/>
            <w:bottom w:w="0" w:type="dxa"/>
            <w:right w:w="108" w:type="dxa"/>
          </w:tblCellMar>
        </w:tblPrEx>
        <w:trPr>
          <w:trHeight w:val="822" w:hRule="atLeast"/>
        </w:trPr>
        <w:tc>
          <w:tcPr>
            <w:tcW w:w="231"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(5) 系统兼容Dreamweaver，可实现在网站群后台打开Dreamweaver，并在Dreamweaver中使用网站群组件进行网站设计和实施，系统兼容多个Dreamweaver版本。</w:t>
            </w:r>
          </w:p>
        </w:tc>
      </w:tr>
      <w:tr>
        <w:tblPrEx>
          <w:tblCellMar>
            <w:top w:w="0" w:type="dxa"/>
            <w:left w:w="108" w:type="dxa"/>
            <w:bottom w:w="0" w:type="dxa"/>
            <w:right w:w="108" w:type="dxa"/>
          </w:tblCellMar>
        </w:tblPrEx>
        <w:trPr>
          <w:trHeight w:val="822" w:hRule="atLeast"/>
        </w:trPr>
        <w:tc>
          <w:tcPr>
            <w:tcW w:w="231"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(6) 系统能够自动将网站模板样式常量数据和展示数据，支持一键扒站，通过智能设计方式自动翻译采用DIV技术网站功能组件模，可快速实现网站建设。</w:t>
            </w:r>
          </w:p>
        </w:tc>
      </w:tr>
      <w:tr>
        <w:tblPrEx>
          <w:tblCellMar>
            <w:top w:w="0" w:type="dxa"/>
            <w:left w:w="108" w:type="dxa"/>
            <w:bottom w:w="0" w:type="dxa"/>
            <w:right w:w="108" w:type="dxa"/>
          </w:tblCellMar>
        </w:tblPrEx>
        <w:trPr>
          <w:trHeight w:val="822" w:hRule="atLeast"/>
        </w:trPr>
        <w:tc>
          <w:tcPr>
            <w:tcW w:w="231"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(7) 网站建设过程需提供历史数据还原功能，避免修改错误导致页面无法正确恢复。</w:t>
            </w:r>
          </w:p>
        </w:tc>
      </w:tr>
      <w:tr>
        <w:tblPrEx>
          <w:tblCellMar>
            <w:top w:w="0" w:type="dxa"/>
            <w:left w:w="108" w:type="dxa"/>
            <w:bottom w:w="0" w:type="dxa"/>
            <w:right w:w="108" w:type="dxa"/>
          </w:tblCellMar>
        </w:tblPrEx>
        <w:trPr>
          <w:trHeight w:val="822" w:hRule="atLeast"/>
        </w:trPr>
        <w:tc>
          <w:tcPr>
            <w:tcW w:w="231"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(8) 系统提供350多种不同类型的常用组件及移动化组件，全面支持DIV+CSS架构，用来实现网站丰富多彩的展现形式，各类组件之间可以相互复制副本或引用，便于同源数据的快速展示。</w:t>
            </w:r>
          </w:p>
        </w:tc>
      </w:tr>
      <w:tr>
        <w:tblPrEx>
          <w:tblCellMar>
            <w:top w:w="0" w:type="dxa"/>
            <w:left w:w="108" w:type="dxa"/>
            <w:bottom w:w="0" w:type="dxa"/>
            <w:right w:w="108" w:type="dxa"/>
          </w:tblCellMar>
        </w:tblPrEx>
        <w:trPr>
          <w:trHeight w:val="822" w:hRule="atLeast"/>
        </w:trPr>
        <w:tc>
          <w:tcPr>
            <w:tcW w:w="231"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(9) 系统支持组件二次开发，可进行组件可视化参数的点选，并提供内置的组件模板语言手册。</w:t>
            </w:r>
          </w:p>
        </w:tc>
      </w:tr>
      <w:tr>
        <w:tblPrEx>
          <w:tblCellMar>
            <w:top w:w="0" w:type="dxa"/>
            <w:left w:w="108" w:type="dxa"/>
            <w:bottom w:w="0" w:type="dxa"/>
            <w:right w:w="108" w:type="dxa"/>
          </w:tblCellMar>
        </w:tblPrEx>
        <w:trPr>
          <w:trHeight w:val="822" w:hRule="atLeast"/>
        </w:trPr>
        <w:tc>
          <w:tcPr>
            <w:tcW w:w="231"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(10) 支持采用多屏适配技术，对已有网站或单个页面进行移动化，原有网站组件不需要重新配置，可以自动继承，移动化网站提供模拟器预览功能，支持多种手机分辨率展示效果，确保发布页面的准确性和兼容性。</w:t>
            </w:r>
          </w:p>
        </w:tc>
      </w:tr>
      <w:tr>
        <w:tblPrEx>
          <w:tblCellMar>
            <w:top w:w="0" w:type="dxa"/>
            <w:left w:w="108" w:type="dxa"/>
            <w:bottom w:w="0" w:type="dxa"/>
            <w:right w:w="108" w:type="dxa"/>
          </w:tblCellMar>
        </w:tblPrEx>
        <w:trPr>
          <w:trHeight w:val="822" w:hRule="atLeast"/>
        </w:trPr>
        <w:tc>
          <w:tcPr>
            <w:tcW w:w="231"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(11) 支持手机建站扫描二维码预览，在建设网站时可通过手机扫描二维码进行实时预览网站效果。并且二维码的有效期仅供一人使用，保障页面安全。</w:t>
            </w:r>
          </w:p>
        </w:tc>
      </w:tr>
      <w:tr>
        <w:tblPrEx>
          <w:tblCellMar>
            <w:top w:w="0" w:type="dxa"/>
            <w:left w:w="108" w:type="dxa"/>
            <w:bottom w:w="0" w:type="dxa"/>
            <w:right w:w="108" w:type="dxa"/>
          </w:tblCellMar>
        </w:tblPrEx>
        <w:trPr>
          <w:trHeight w:val="822" w:hRule="atLeast"/>
        </w:trPr>
        <w:tc>
          <w:tcPr>
            <w:tcW w:w="231"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(12) 栏目建设支持手动创建，同时支持通过使用逗号","或换行分隔栏目名，快速新建栏目，实现批量创建。</w:t>
            </w:r>
          </w:p>
        </w:tc>
      </w:tr>
      <w:tr>
        <w:tblPrEx>
          <w:tblCellMar>
            <w:top w:w="0" w:type="dxa"/>
            <w:left w:w="108" w:type="dxa"/>
            <w:bottom w:w="0" w:type="dxa"/>
            <w:right w:w="108" w:type="dxa"/>
          </w:tblCellMar>
        </w:tblPrEx>
        <w:trPr>
          <w:trHeight w:val="822" w:hRule="atLeast"/>
        </w:trPr>
        <w:tc>
          <w:tcPr>
            <w:tcW w:w="231"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(13) 系统支持资料自动检测，可快速检测到未配置内容的网站组件，同时进行快速资料源配置。</w:t>
            </w:r>
          </w:p>
        </w:tc>
      </w:tr>
      <w:tr>
        <w:tblPrEx>
          <w:tblCellMar>
            <w:top w:w="0" w:type="dxa"/>
            <w:left w:w="108" w:type="dxa"/>
            <w:bottom w:w="0" w:type="dxa"/>
            <w:right w:w="108" w:type="dxa"/>
          </w:tblCellMar>
        </w:tblPrEx>
        <w:trPr>
          <w:trHeight w:val="822" w:hRule="atLeast"/>
        </w:trPr>
        <w:tc>
          <w:tcPr>
            <w:tcW w:w="231"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（14）系统支持子站移动版一键生成，实现内容一次发布，PC、手机、平板多设备内容同步更新。</w:t>
            </w:r>
          </w:p>
        </w:tc>
      </w:tr>
      <w:tr>
        <w:tblPrEx>
          <w:tblCellMar>
            <w:top w:w="0" w:type="dxa"/>
            <w:left w:w="108" w:type="dxa"/>
            <w:bottom w:w="0" w:type="dxa"/>
            <w:right w:w="108" w:type="dxa"/>
          </w:tblCellMar>
        </w:tblPrEx>
        <w:trPr>
          <w:trHeight w:val="822" w:hRule="atLeast"/>
        </w:trPr>
        <w:tc>
          <w:tcPr>
            <w:tcW w:w="231"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（15）提供</w:t>
            </w:r>
            <w:r>
              <w:rPr>
                <w:rFonts w:hint="eastAsia" w:ascii="宋体" w:hAnsi="宋体" w:cs="宋体"/>
                <w:sz w:val="24"/>
              </w:rPr>
              <w:t>30套具备电脑版和手机版且设计精美的网站开发模板，所提供的模板具备PC端和移动端的自适应功能，能适配各种主流浏览器。所提供的模板要能够贴切高校应用场景。</w:t>
            </w:r>
          </w:p>
        </w:tc>
      </w:tr>
      <w:tr>
        <w:tblPrEx>
          <w:tblCellMar>
            <w:top w:w="0" w:type="dxa"/>
            <w:left w:w="108" w:type="dxa"/>
            <w:bottom w:w="0" w:type="dxa"/>
            <w:right w:w="108" w:type="dxa"/>
          </w:tblCellMar>
        </w:tblPrEx>
        <w:trPr>
          <w:trHeight w:val="822" w:hRule="atLeast"/>
        </w:trPr>
        <w:tc>
          <w:tcPr>
            <w:tcW w:w="231" w:type="pct"/>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（16）提供1个主站响应式定制设计改版。</w:t>
            </w:r>
          </w:p>
        </w:tc>
      </w:tr>
      <w:tr>
        <w:tblPrEx>
          <w:tblCellMar>
            <w:top w:w="0" w:type="dxa"/>
            <w:left w:w="108" w:type="dxa"/>
            <w:bottom w:w="0" w:type="dxa"/>
            <w:right w:w="108" w:type="dxa"/>
          </w:tblCellMar>
        </w:tblPrEx>
        <w:trPr>
          <w:trHeight w:val="1071" w:hRule="atLeast"/>
        </w:trPr>
        <w:tc>
          <w:tcPr>
            <w:tcW w:w="231" w:type="pct"/>
            <w:vMerge w:val="restart"/>
            <w:tcBorders>
              <w:top w:val="nil"/>
              <w:left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962" w:type="pct"/>
            <w:vMerge w:val="restart"/>
            <w:tcBorders>
              <w:top w:val="nil"/>
              <w:left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内容管理</w:t>
            </w: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 系统具有“个人桌面”功能，可根据用户个人习惯自定义配置、拖动相关功能模块，支持拖拽设置快捷方式，实现对应模块管理界面的快速跳转。</w:t>
            </w:r>
          </w:p>
        </w:tc>
      </w:tr>
      <w:tr>
        <w:tblPrEx>
          <w:tblCellMar>
            <w:top w:w="0" w:type="dxa"/>
            <w:left w:w="108" w:type="dxa"/>
            <w:bottom w:w="0" w:type="dxa"/>
            <w:right w:w="108" w:type="dxa"/>
          </w:tblCellMar>
        </w:tblPrEx>
        <w:trPr>
          <w:trHeight w:val="1026" w:hRule="atLeast"/>
        </w:trPr>
        <w:tc>
          <w:tcPr>
            <w:tcW w:w="231"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(2) 系统应具有简单、稳定、易用的文章编辑器，并且支持Word/WPS文档一键原样在线导入，导入后的文字、图片、表格等格式与原样保持一致。</w:t>
            </w:r>
          </w:p>
        </w:tc>
      </w:tr>
      <w:tr>
        <w:tblPrEx>
          <w:tblCellMar>
            <w:top w:w="0" w:type="dxa"/>
            <w:left w:w="108" w:type="dxa"/>
            <w:bottom w:w="0" w:type="dxa"/>
            <w:right w:w="108" w:type="dxa"/>
          </w:tblCellMar>
        </w:tblPrEx>
        <w:trPr>
          <w:trHeight w:val="1293" w:hRule="atLeast"/>
        </w:trPr>
        <w:tc>
          <w:tcPr>
            <w:tcW w:w="231"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highlight w:val="none"/>
              </w:rPr>
              <w:t>(3) ▲系统应具备“云导入”功能，在不需要下载多余插件的情况下，就能够实现Word文档的直接导入。导入过程能够自动识别word的标题、关键字、发布日期、摘要等word中的关键信息，并自动填充到编辑器对应字段位置。</w:t>
            </w:r>
            <w:r>
              <w:rPr>
                <w:rFonts w:hint="eastAsia" w:ascii="Times New Roman" w:hAnsi="Times New Roman" w:eastAsia="宋体" w:cs="Times New Roman"/>
                <w:b/>
                <w:bCs/>
                <w:sz w:val="24"/>
                <w:highlight w:val="none"/>
              </w:rPr>
              <w:t>(响应文件中提供实现该项功能的截图）</w:t>
            </w:r>
          </w:p>
        </w:tc>
      </w:tr>
      <w:tr>
        <w:tblPrEx>
          <w:tblCellMar>
            <w:top w:w="0" w:type="dxa"/>
            <w:left w:w="108" w:type="dxa"/>
            <w:bottom w:w="0" w:type="dxa"/>
            <w:right w:w="108" w:type="dxa"/>
          </w:tblCellMar>
        </w:tblPrEx>
        <w:trPr>
          <w:trHeight w:val="822" w:hRule="atLeast"/>
        </w:trPr>
        <w:tc>
          <w:tcPr>
            <w:tcW w:w="231"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(4) 系统需要支持内容编辑器内对网络文本的采集，能够采集对应的URL网络内容资源，直接添加进文章不同字段区间。</w:t>
            </w:r>
          </w:p>
        </w:tc>
      </w:tr>
      <w:tr>
        <w:tblPrEx>
          <w:tblCellMar>
            <w:top w:w="0" w:type="dxa"/>
            <w:left w:w="108" w:type="dxa"/>
            <w:bottom w:w="0" w:type="dxa"/>
            <w:right w:w="108" w:type="dxa"/>
          </w:tblCellMar>
        </w:tblPrEx>
        <w:trPr>
          <w:trHeight w:val="1308" w:hRule="atLeast"/>
        </w:trPr>
        <w:tc>
          <w:tcPr>
            <w:tcW w:w="231"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(5) 提供文章编辑一键排版工具，一键排版功能支持多种预设样式，可在后台下载并参考样例来定义样式文件，自主上传录入排版样式文件，文档可按照预先自定义的格式进行排版，排版过程会针对文章内容源代码进行规范化整理，确保多种浏览器更好的兼容。</w:t>
            </w:r>
          </w:p>
        </w:tc>
      </w:tr>
      <w:tr>
        <w:tblPrEx>
          <w:tblCellMar>
            <w:top w:w="0" w:type="dxa"/>
            <w:left w:w="108" w:type="dxa"/>
            <w:bottom w:w="0" w:type="dxa"/>
            <w:right w:w="108" w:type="dxa"/>
          </w:tblCellMar>
        </w:tblPrEx>
        <w:trPr>
          <w:trHeight w:val="1323" w:hRule="atLeast"/>
        </w:trPr>
        <w:tc>
          <w:tcPr>
            <w:tcW w:w="231"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(6) 文章编辑器支持在编辑PC版内容的同时，可以同时创建手机正文，移动版正文可以从电脑版导入，也可独立编辑，移动版图、文、影可以在电脑版的基础上进行内容清洗，清洗成适合移动设备展示的内容，同一个文章，可以实现不同的展示内容。</w:t>
            </w:r>
          </w:p>
        </w:tc>
      </w:tr>
      <w:tr>
        <w:tblPrEx>
          <w:tblCellMar>
            <w:top w:w="0" w:type="dxa"/>
            <w:left w:w="108" w:type="dxa"/>
            <w:bottom w:w="0" w:type="dxa"/>
            <w:right w:w="108" w:type="dxa"/>
          </w:tblCellMar>
        </w:tblPrEx>
        <w:trPr>
          <w:trHeight w:val="822" w:hRule="atLeast"/>
        </w:trPr>
        <w:tc>
          <w:tcPr>
            <w:tcW w:w="231"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(7) 系统支持pdf发布。用户可以对红头文件、重要的通知公告等这类文件在后台选择以pdf的方式进行发布，用户只需要在后台内容编辑界面选择pdf发布，就可以将编辑好的Word文档直接转换成pdf的格式上传上来。用户无需自己进行转换就可以完成整个过程。</w:t>
            </w:r>
          </w:p>
        </w:tc>
      </w:tr>
      <w:tr>
        <w:tblPrEx>
          <w:tblCellMar>
            <w:top w:w="0" w:type="dxa"/>
            <w:left w:w="108" w:type="dxa"/>
            <w:bottom w:w="0" w:type="dxa"/>
            <w:right w:w="108" w:type="dxa"/>
          </w:tblCellMar>
        </w:tblPrEx>
        <w:trPr>
          <w:trHeight w:val="822" w:hRule="atLeast"/>
        </w:trPr>
        <w:tc>
          <w:tcPr>
            <w:tcW w:w="231"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(8) 系统支持针对文章发布的新闻缩略图进行在线裁剪，支持多种比例裁剪、翻转、镜像，满足新闻缩略图的展现需求。</w:t>
            </w:r>
          </w:p>
        </w:tc>
      </w:tr>
      <w:tr>
        <w:tblPrEx>
          <w:tblCellMar>
            <w:top w:w="0" w:type="dxa"/>
            <w:left w:w="108" w:type="dxa"/>
            <w:bottom w:w="0" w:type="dxa"/>
            <w:right w:w="108" w:type="dxa"/>
          </w:tblCellMar>
        </w:tblPrEx>
        <w:trPr>
          <w:trHeight w:val="822" w:hRule="atLeast"/>
        </w:trPr>
        <w:tc>
          <w:tcPr>
            <w:tcW w:w="231"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(9) 支持站群级别、站点级别的文章扩展字段自定义。</w:t>
            </w:r>
          </w:p>
        </w:tc>
      </w:tr>
      <w:tr>
        <w:tblPrEx>
          <w:tblCellMar>
            <w:top w:w="0" w:type="dxa"/>
            <w:left w:w="108" w:type="dxa"/>
            <w:bottom w:w="0" w:type="dxa"/>
            <w:right w:w="108" w:type="dxa"/>
          </w:tblCellMar>
        </w:tblPrEx>
        <w:trPr>
          <w:trHeight w:val="822" w:hRule="atLeast"/>
        </w:trPr>
        <w:tc>
          <w:tcPr>
            <w:tcW w:w="231"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(10) 支持新闻时效性管理，可以设置新闻上线及下线时间。</w:t>
            </w:r>
          </w:p>
        </w:tc>
      </w:tr>
      <w:tr>
        <w:tblPrEx>
          <w:tblCellMar>
            <w:top w:w="0" w:type="dxa"/>
            <w:left w:w="108" w:type="dxa"/>
            <w:bottom w:w="0" w:type="dxa"/>
            <w:right w:w="108" w:type="dxa"/>
          </w:tblCellMar>
        </w:tblPrEx>
        <w:trPr>
          <w:trHeight w:val="822" w:hRule="atLeast"/>
        </w:trPr>
        <w:tc>
          <w:tcPr>
            <w:tcW w:w="231"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(11) 支持文章或栏目访问权限管理，可以设置配置对应的访问权限IP规则或可访问角色。</w:t>
            </w:r>
          </w:p>
        </w:tc>
      </w:tr>
      <w:tr>
        <w:tblPrEx>
          <w:tblCellMar>
            <w:top w:w="0" w:type="dxa"/>
            <w:left w:w="108" w:type="dxa"/>
            <w:bottom w:w="0" w:type="dxa"/>
            <w:right w:w="108" w:type="dxa"/>
          </w:tblCellMar>
        </w:tblPrEx>
        <w:trPr>
          <w:trHeight w:val="822" w:hRule="atLeast"/>
        </w:trPr>
        <w:tc>
          <w:tcPr>
            <w:tcW w:w="231"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(12) 支持对历史数据进行归档，提升网站前台加载速度。</w:t>
            </w:r>
          </w:p>
        </w:tc>
      </w:tr>
      <w:tr>
        <w:tblPrEx>
          <w:tblCellMar>
            <w:top w:w="0" w:type="dxa"/>
            <w:left w:w="108" w:type="dxa"/>
            <w:bottom w:w="0" w:type="dxa"/>
            <w:right w:w="108" w:type="dxa"/>
          </w:tblCellMar>
        </w:tblPrEx>
        <w:trPr>
          <w:trHeight w:val="822" w:hRule="atLeast"/>
        </w:trPr>
        <w:tc>
          <w:tcPr>
            <w:tcW w:w="231"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(13) 编辑器会定期对文章进行保存形成草稿，在草稿箱中可以调用草稿文章，避免浏览器崩溃或其他原因引起的新闻丢失。</w:t>
            </w:r>
          </w:p>
        </w:tc>
      </w:tr>
      <w:tr>
        <w:tblPrEx>
          <w:tblCellMar>
            <w:top w:w="0" w:type="dxa"/>
            <w:left w:w="108" w:type="dxa"/>
            <w:bottom w:w="0" w:type="dxa"/>
            <w:right w:w="108" w:type="dxa"/>
          </w:tblCellMar>
        </w:tblPrEx>
        <w:trPr>
          <w:trHeight w:val="1368" w:hRule="atLeast"/>
        </w:trPr>
        <w:tc>
          <w:tcPr>
            <w:tcW w:w="231"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highlight w:val="none"/>
              </w:rPr>
              <w:t>(14) ▲支持文章历史修改过程记录，能够针对文章的不同历史版本，指定两个历史稿件进行同一界面下的双窗口内容比对，针对增删改等不同的修改点，实现不同颜色标记，便于审核人员审核校对。</w:t>
            </w:r>
            <w:r>
              <w:rPr>
                <w:rFonts w:hint="eastAsia" w:ascii="Times New Roman" w:hAnsi="Times New Roman" w:eastAsia="宋体" w:cs="Times New Roman"/>
                <w:b/>
                <w:bCs/>
                <w:sz w:val="24"/>
                <w:highlight w:val="none"/>
              </w:rPr>
              <w:t>(响应文件中提供实现该项功能的截图）</w:t>
            </w:r>
          </w:p>
        </w:tc>
      </w:tr>
      <w:tr>
        <w:tblPrEx>
          <w:tblCellMar>
            <w:top w:w="0" w:type="dxa"/>
            <w:left w:w="108" w:type="dxa"/>
            <w:bottom w:w="0" w:type="dxa"/>
            <w:right w:w="108" w:type="dxa"/>
          </w:tblCellMar>
        </w:tblPrEx>
        <w:trPr>
          <w:trHeight w:val="1071" w:hRule="atLeast"/>
        </w:trPr>
        <w:tc>
          <w:tcPr>
            <w:tcW w:w="231"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(15) 文章列支持拖拽式排序，可通过显性化拖拽方便的针对当前模块文章进行排序，拖拽排序之后保存，无需重新发布，即可实现前端页面文章顺序同步更新。</w:t>
            </w:r>
          </w:p>
        </w:tc>
      </w:tr>
      <w:tr>
        <w:tblPrEx>
          <w:tblCellMar>
            <w:top w:w="0" w:type="dxa"/>
            <w:left w:w="108" w:type="dxa"/>
            <w:bottom w:w="0" w:type="dxa"/>
            <w:right w:w="108" w:type="dxa"/>
          </w:tblCellMar>
        </w:tblPrEx>
        <w:trPr>
          <w:trHeight w:val="822" w:hRule="atLeast"/>
        </w:trPr>
        <w:tc>
          <w:tcPr>
            <w:tcW w:w="231"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(16) 支持文章发布时投递功能，在文章发布时，可以选择推送至本网站其他栏目，或者其他网站的多个栏目。</w:t>
            </w:r>
          </w:p>
        </w:tc>
      </w:tr>
      <w:tr>
        <w:tblPrEx>
          <w:tblCellMar>
            <w:top w:w="0" w:type="dxa"/>
            <w:left w:w="108" w:type="dxa"/>
            <w:bottom w:w="0" w:type="dxa"/>
            <w:right w:w="108" w:type="dxa"/>
          </w:tblCellMar>
        </w:tblPrEx>
        <w:trPr>
          <w:trHeight w:val="1665" w:hRule="atLeast"/>
        </w:trPr>
        <w:tc>
          <w:tcPr>
            <w:tcW w:w="231"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(17) 系统能够记录详细的文章操作日志，可以记录站群系统中被操作文章的网站名称、网站账号、操作者账号、姓名、IP地址、操作时间、操作内容、操作类型等信息，支持按照站点和操作类型进行查看，并具有查询功能，同时支持以Excel文件导出，使得每篇文章内容操作都有据可查，保障站群中所有站点内容安全。</w:t>
            </w:r>
          </w:p>
        </w:tc>
      </w:tr>
      <w:tr>
        <w:tblPrEx>
          <w:tblCellMar>
            <w:top w:w="0" w:type="dxa"/>
            <w:left w:w="108" w:type="dxa"/>
            <w:bottom w:w="0" w:type="dxa"/>
            <w:right w:w="108" w:type="dxa"/>
          </w:tblCellMar>
        </w:tblPrEx>
        <w:trPr>
          <w:trHeight w:val="822" w:hRule="atLeast"/>
        </w:trPr>
        <w:tc>
          <w:tcPr>
            <w:tcW w:w="231"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(18) 网站群数据存储具备云存储特性，相同文件（资源文件、备份文件等）物理上只存一份。</w:t>
            </w:r>
          </w:p>
        </w:tc>
      </w:tr>
      <w:tr>
        <w:tblPrEx>
          <w:tblCellMar>
            <w:top w:w="0" w:type="dxa"/>
            <w:left w:w="108" w:type="dxa"/>
            <w:bottom w:w="0" w:type="dxa"/>
            <w:right w:w="108" w:type="dxa"/>
          </w:tblCellMar>
        </w:tblPrEx>
        <w:trPr>
          <w:trHeight w:val="822" w:hRule="atLeast"/>
        </w:trPr>
        <w:tc>
          <w:tcPr>
            <w:tcW w:w="231"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(19) 网站群提供“云文件库”功能，用户可以管理使用个人文件，同时可以查看其它管理员共享的公共文件。</w:t>
            </w:r>
          </w:p>
        </w:tc>
      </w:tr>
      <w:tr>
        <w:tblPrEx>
          <w:tblCellMar>
            <w:top w:w="0" w:type="dxa"/>
            <w:left w:w="108" w:type="dxa"/>
            <w:bottom w:w="0" w:type="dxa"/>
            <w:right w:w="108" w:type="dxa"/>
          </w:tblCellMar>
        </w:tblPrEx>
        <w:trPr>
          <w:trHeight w:val="687" w:hRule="atLeast"/>
        </w:trPr>
        <w:tc>
          <w:tcPr>
            <w:tcW w:w="231"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(20) 系统可实现对主流视频的一键上传，满足各类不同的设备访问。</w:t>
            </w:r>
          </w:p>
        </w:tc>
      </w:tr>
      <w:tr>
        <w:tblPrEx>
          <w:tblCellMar>
            <w:top w:w="0" w:type="dxa"/>
            <w:left w:w="108" w:type="dxa"/>
            <w:bottom w:w="0" w:type="dxa"/>
            <w:right w:w="108" w:type="dxa"/>
          </w:tblCellMar>
        </w:tblPrEx>
        <w:trPr>
          <w:trHeight w:val="1146" w:hRule="atLeast"/>
        </w:trPr>
        <w:tc>
          <w:tcPr>
            <w:tcW w:w="231"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(21) 系统内置消息通知机制，消息可分为个人消息和系统消息，管理员可根据需求来自定义接收消息类型，并且支持选择多种接收方式，如消息接收或者邮件接收。</w:t>
            </w:r>
          </w:p>
        </w:tc>
      </w:tr>
      <w:tr>
        <w:tblPrEx>
          <w:tblCellMar>
            <w:top w:w="0" w:type="dxa"/>
            <w:left w:w="108" w:type="dxa"/>
            <w:bottom w:w="0" w:type="dxa"/>
            <w:right w:w="108" w:type="dxa"/>
          </w:tblCellMar>
        </w:tblPrEx>
        <w:trPr>
          <w:trHeight w:val="822" w:hRule="atLeast"/>
        </w:trPr>
        <w:tc>
          <w:tcPr>
            <w:tcW w:w="231"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(22) 系统提供信息采集功能，支持web采集与数据库采集两种方式。利用信息采集功能，使系统能对通过第三方数据库，或者对指定网站、版块或栏目进行自动搜索和信息采集。</w:t>
            </w:r>
          </w:p>
        </w:tc>
      </w:tr>
      <w:tr>
        <w:tblPrEx>
          <w:tblCellMar>
            <w:top w:w="0" w:type="dxa"/>
            <w:left w:w="108" w:type="dxa"/>
            <w:bottom w:w="0" w:type="dxa"/>
            <w:right w:w="108" w:type="dxa"/>
          </w:tblCellMar>
        </w:tblPrEx>
        <w:trPr>
          <w:trHeight w:val="822" w:hRule="atLeast"/>
        </w:trPr>
        <w:tc>
          <w:tcPr>
            <w:tcW w:w="231"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（23） 支持跨站全文检索，用户可以在任意网站群站点中搜索网站群内部的信息。</w:t>
            </w:r>
          </w:p>
        </w:tc>
      </w:tr>
      <w:tr>
        <w:tblPrEx>
          <w:tblCellMar>
            <w:top w:w="0" w:type="dxa"/>
            <w:left w:w="108" w:type="dxa"/>
            <w:bottom w:w="0" w:type="dxa"/>
            <w:right w:w="108" w:type="dxa"/>
          </w:tblCellMar>
        </w:tblPrEx>
        <w:trPr>
          <w:trHeight w:val="822" w:hRule="atLeast"/>
        </w:trPr>
        <w:tc>
          <w:tcPr>
            <w:tcW w:w="231" w:type="pct"/>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（23） 系统实际操作使用中，包括但不限于多图上传、图表宽度自适应、首行缩进等。</w:t>
            </w:r>
          </w:p>
        </w:tc>
      </w:tr>
      <w:tr>
        <w:tblPrEx>
          <w:tblCellMar>
            <w:top w:w="0" w:type="dxa"/>
            <w:left w:w="108" w:type="dxa"/>
            <w:bottom w:w="0" w:type="dxa"/>
            <w:right w:w="108" w:type="dxa"/>
          </w:tblCellMar>
        </w:tblPrEx>
        <w:trPr>
          <w:trHeight w:val="822" w:hRule="atLeast"/>
        </w:trPr>
        <w:tc>
          <w:tcPr>
            <w:tcW w:w="231"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962"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内容安全管理</w:t>
            </w: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highlight w:val="none"/>
              </w:rPr>
              <w:t>(1) ▲系统支持配置开设专属的内容安全管理员入口，方便校级内容安全管理人员对平台及各个站点的内容安全问题数据进行全面检测及处理跟踪。</w:t>
            </w:r>
            <w:r>
              <w:rPr>
                <w:rFonts w:hint="eastAsia" w:ascii="Times New Roman" w:hAnsi="Times New Roman" w:eastAsia="宋体" w:cs="Times New Roman"/>
                <w:b/>
                <w:bCs/>
                <w:sz w:val="24"/>
                <w:highlight w:val="none"/>
              </w:rPr>
              <w:t>(响应文件中提供实现该项功能的截图）</w:t>
            </w:r>
          </w:p>
        </w:tc>
      </w:tr>
      <w:tr>
        <w:tblPrEx>
          <w:tblCellMar>
            <w:top w:w="0" w:type="dxa"/>
            <w:left w:w="108" w:type="dxa"/>
            <w:bottom w:w="0" w:type="dxa"/>
            <w:right w:w="108" w:type="dxa"/>
          </w:tblCellMar>
        </w:tblPrEx>
        <w:trPr>
          <w:trHeight w:val="1350"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(2) 要求系统提供自定义的敏感词库、自定义的错别字库、非法链接库、敏感人物库，词库词条支持手动添加/下载/批量导入等操作，支持对单个词汇或链接进行启用、修改、删除等操作，支持对库内的词汇或链接进行模糊搜索查询。此外，也要求支持敏感内容的上报功能，实现敏感词库自定义。</w:t>
            </w:r>
          </w:p>
        </w:tc>
      </w:tr>
      <w:tr>
        <w:tblPrEx>
          <w:tblCellMar>
            <w:top w:w="0" w:type="dxa"/>
            <w:left w:w="108" w:type="dxa"/>
            <w:bottom w:w="0" w:type="dxa"/>
            <w:right w:w="108" w:type="dxa"/>
          </w:tblCellMar>
        </w:tblPrEx>
        <w:trPr>
          <w:trHeight w:val="1095"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highlight w:val="none"/>
              </w:rPr>
              <w:t>(3) ▲要求系统提供误报词库，系统支持手动添加、删除、修改、启用误报词，支持下载误报词库模板、导入误报词库，支持对误报词库内的误报词进行模糊搜索查询。</w:t>
            </w:r>
            <w:r>
              <w:rPr>
                <w:rFonts w:hint="eastAsia" w:ascii="Times New Roman" w:hAnsi="Times New Roman" w:eastAsia="宋体" w:cs="Times New Roman"/>
                <w:b/>
                <w:bCs/>
                <w:sz w:val="24"/>
                <w:highlight w:val="none"/>
              </w:rPr>
              <w:t>(响应文件中提供实现该项功能的截图）</w:t>
            </w:r>
          </w:p>
        </w:tc>
      </w:tr>
      <w:tr>
        <w:tblPrEx>
          <w:tblCellMar>
            <w:top w:w="0" w:type="dxa"/>
            <w:left w:w="108" w:type="dxa"/>
            <w:bottom w:w="0" w:type="dxa"/>
            <w:right w:w="108" w:type="dxa"/>
          </w:tblCellMar>
        </w:tblPrEx>
        <w:trPr>
          <w:trHeight w:val="1080"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(4) 文章敏感信息事前检测：添加文章时，支持对文章内容进行手动检测，发布文章时，支持对文章内容进行自动检测，检测文章是否存在敏感词、错别字、隐私信息、非法链接、敏感人物，发现问题弹窗告警用户，对文章内的敏感信息支持定位处理。</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highlight w:val="none"/>
              </w:rPr>
              <w:t>(5) ▲在针对文章敏感信息的处理过程中，如需针对当前敏感信息进行忽略，则后台需提供忽略原因回复窗口，存在敏感信息被忽略的文档条目，将持续展示忽略标记，便于管理员快速了解到文章的敏感信息忽略具体原因。</w:t>
            </w:r>
            <w:r>
              <w:rPr>
                <w:rFonts w:hint="eastAsia" w:ascii="Times New Roman" w:hAnsi="Times New Roman" w:eastAsia="宋体" w:cs="Times New Roman"/>
                <w:b/>
                <w:bCs/>
                <w:sz w:val="24"/>
                <w:highlight w:val="none"/>
              </w:rPr>
              <w:t>(响应文件中提供实现该项功能的截图）</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(6) 支持监测网站整体模板、组件、文档附件、超文本等多种维度的内容安全情况，发现内容安全问题支持弹窗告警用户。</w:t>
            </w:r>
          </w:p>
        </w:tc>
      </w:tr>
      <w:tr>
        <w:tblPrEx>
          <w:tblCellMar>
            <w:top w:w="0" w:type="dxa"/>
            <w:left w:w="108" w:type="dxa"/>
            <w:bottom w:w="0" w:type="dxa"/>
            <w:right w:w="108" w:type="dxa"/>
          </w:tblCellMar>
        </w:tblPrEx>
        <w:trPr>
          <w:trHeight w:val="1050"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(7) 支持对网站群所有站点进行内容安全检测，检测当前站群所有网站文章、资料、模板、附件、新媒体内容是否存在敏感信息，支持一键检测或自定义范围检测，在检测过程中，展示当前检测站点及进度，检测完成后展示当前检测结果概览。</w:t>
            </w:r>
          </w:p>
        </w:tc>
      </w:tr>
      <w:tr>
        <w:tblPrEx>
          <w:tblCellMar>
            <w:top w:w="0" w:type="dxa"/>
            <w:left w:w="108" w:type="dxa"/>
            <w:bottom w:w="0" w:type="dxa"/>
            <w:right w:w="108" w:type="dxa"/>
          </w:tblCellMar>
        </w:tblPrEx>
        <w:trPr>
          <w:trHeight w:val="1125"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(8) 支持以站点视角及全局视角两种维度，查看站群下的各个站点内容安全检测结果，可对文章、资料、模板、附件、新媒体内容进行单个或批量处理，处理完成后可对处理结果进行一键验证。</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(9) 支持查看当前站点敏感信息检测结果，可对当前站点文章、资料、模板、附件、新媒体内容进行单个处理，处理完成后可对处理结果进行一键验证。</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(10) 历史处理结果统计：支持对每次检测后的处理结果进行统计分析，包括已处理数量及未处理数量，可对单次检测后的处理结果进行本地excel导出。</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（11） 支持分别从文章、附件（word、excel、可解析的PDF等）、评论、栏目、模板、微博、微信等不同类型的内容进行敏感信息精准搜索；搜索结果可实现快速撤稿或逐一修改处理。</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（12）需提供详细的敏感词库，词库支持自定义上传敏感词以供检测，并且词库支持每季度更新。</w:t>
            </w:r>
          </w:p>
        </w:tc>
      </w:tr>
      <w:tr>
        <w:tblPrEx>
          <w:tblCellMar>
            <w:top w:w="0" w:type="dxa"/>
            <w:left w:w="108" w:type="dxa"/>
            <w:bottom w:w="0" w:type="dxa"/>
            <w:right w:w="108" w:type="dxa"/>
          </w:tblCellMar>
        </w:tblPrEx>
        <w:trPr>
          <w:trHeight w:val="822" w:hRule="atLeast"/>
        </w:trPr>
        <w:tc>
          <w:tcPr>
            <w:tcW w:w="231"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6</w:t>
            </w:r>
          </w:p>
        </w:tc>
        <w:tc>
          <w:tcPr>
            <w:tcW w:w="962"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内容在线预检系统</w:t>
            </w:r>
          </w:p>
        </w:tc>
        <w:tc>
          <w:tcPr>
            <w:tcW w:w="3807" w:type="pct"/>
            <w:tcBorders>
              <w:top w:val="nil"/>
              <w:left w:val="nil"/>
              <w:bottom w:val="single" w:color="auto" w:sz="4" w:space="0"/>
              <w:right w:val="single" w:color="auto" w:sz="4" w:space="0"/>
            </w:tcBorders>
            <w:noWrap w:val="0"/>
            <w:vAlign w:val="center"/>
          </w:tcPr>
          <w:p>
            <w:pPr>
              <w:pStyle w:val="33"/>
              <w:keepNext w:val="0"/>
              <w:keepLines w:val="0"/>
              <w:pageBreakBefore w:val="0"/>
              <w:kinsoku/>
              <w:wordWrap w:val="0"/>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（1）提供SaaS化的产品服务3年，进行发布内容事前在线检测，从发布源头管控高校内容安全。</w:t>
            </w:r>
          </w:p>
          <w:p>
            <w:pPr>
              <w:pStyle w:val="33"/>
              <w:keepNext w:val="0"/>
              <w:keepLines w:val="0"/>
              <w:pageBreakBefore w:val="0"/>
              <w:kinsoku/>
              <w:wordWrap w:val="0"/>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（2）▲要求无缝对接网站群系统，无需二次登录，实现直接在网站群系统编辑器中检测使用。如有涉及对接费用，由供应商自行承担。</w:t>
            </w:r>
            <w:r>
              <w:rPr>
                <w:rFonts w:hint="eastAsia" w:ascii="Times New Roman" w:hAnsi="Times New Roman" w:eastAsia="宋体" w:cs="Times New Roman"/>
                <w:b/>
                <w:bCs/>
                <w:kern w:val="2"/>
                <w:sz w:val="24"/>
                <w:szCs w:val="24"/>
                <w:highlight w:val="none"/>
                <w:lang w:val="en-US" w:eastAsia="zh-CN" w:bidi="ar-SA"/>
              </w:rPr>
              <w:t>（需提供承诺函）</w:t>
            </w:r>
          </w:p>
          <w:p>
            <w:pPr>
              <w:pStyle w:val="33"/>
              <w:keepNext w:val="0"/>
              <w:keepLines w:val="0"/>
              <w:pageBreakBefore w:val="0"/>
              <w:kinsoku/>
              <w:wordWrap w:val="0"/>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（3）系统支持网站、新媒体（微信公众号/微博等）发布内容的预检，检测方式为文本检测和网址检测。</w:t>
            </w:r>
          </w:p>
          <w:p>
            <w:pPr>
              <w:pStyle w:val="33"/>
              <w:keepNext w:val="0"/>
              <w:keepLines w:val="0"/>
              <w:pageBreakBefore w:val="0"/>
              <w:kinsoku/>
              <w:wordWrap w:val="0"/>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（4）支持检测某个网页的文章内容，将网页URL链接粘贴到系统中进行一键检测，可编辑文章内容。</w:t>
            </w:r>
          </w:p>
          <w:p>
            <w:pPr>
              <w:pStyle w:val="33"/>
              <w:keepNext w:val="0"/>
              <w:keepLines w:val="0"/>
              <w:pageBreakBefore w:val="0"/>
              <w:kinsoku/>
              <w:wordWrap w:val="0"/>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（5）需要具备文本检测：支持对将待发布的文本内容粘贴复制到系统内一键检测。</w:t>
            </w:r>
          </w:p>
          <w:p>
            <w:pPr>
              <w:pStyle w:val="33"/>
              <w:keepNext w:val="0"/>
              <w:keepLines w:val="0"/>
              <w:pageBreakBefore w:val="0"/>
              <w:kinsoku/>
              <w:wordWrap w:val="0"/>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（6）▲需要具备网址检测：支持对网站、微信、微博等地址链接复制到系统内直接检测。</w:t>
            </w:r>
            <w:r>
              <w:rPr>
                <w:rFonts w:hint="eastAsia" w:ascii="Times New Roman" w:hAnsi="Times New Roman" w:eastAsia="宋体" w:cs="Times New Roman"/>
                <w:b/>
                <w:bCs/>
                <w:kern w:val="2"/>
                <w:sz w:val="24"/>
                <w:szCs w:val="24"/>
                <w:highlight w:val="none"/>
                <w:lang w:val="en-US" w:eastAsia="zh-CN" w:bidi="ar-SA"/>
              </w:rPr>
              <w:t>（需提供系统截图）</w:t>
            </w:r>
          </w:p>
          <w:p>
            <w:pPr>
              <w:pStyle w:val="33"/>
              <w:keepNext w:val="0"/>
              <w:keepLines w:val="0"/>
              <w:pageBreakBefore w:val="0"/>
              <w:kinsoku/>
              <w:wordWrap w:val="0"/>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（7）支持将文本内容复制粘贴到内容安全检测的文本框中，然后进行一键检测，同时支持文本格式的编辑，将修改好的内容可以一键复制。</w:t>
            </w:r>
          </w:p>
          <w:p>
            <w:pPr>
              <w:pStyle w:val="33"/>
              <w:keepNext w:val="0"/>
              <w:keepLines w:val="0"/>
              <w:pageBreakBefore w:val="0"/>
              <w:kinsoku/>
              <w:wordWrap w:val="0"/>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（8）系统在性能方面，需支持错敏信息检测的性能不低于1000字/秒。</w:t>
            </w:r>
          </w:p>
          <w:p>
            <w:pPr>
              <w:pStyle w:val="33"/>
              <w:keepNext w:val="0"/>
              <w:keepLines w:val="0"/>
              <w:pageBreakBefore w:val="0"/>
              <w:kinsoku/>
              <w:wordWrap w:val="0"/>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（9）支持对检测出来的敏感词内容进行高亮显示及定位功能，提醒编辑人员快速修改。</w:t>
            </w:r>
          </w:p>
          <w:p>
            <w:pPr>
              <w:pStyle w:val="33"/>
              <w:keepNext w:val="0"/>
              <w:keepLines w:val="0"/>
              <w:pageBreakBefore w:val="0"/>
              <w:kinsoku/>
              <w:wordWrap w:val="0"/>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（10）支持文本格式的编辑，将修改好的内容可以一键复制。</w:t>
            </w:r>
          </w:p>
          <w:p>
            <w:pPr>
              <w:pStyle w:val="33"/>
              <w:keepNext w:val="0"/>
              <w:keepLines w:val="0"/>
              <w:pageBreakBefore w:val="0"/>
              <w:kinsoku/>
              <w:wordWrap w:val="0"/>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（11）支持将检测出来的敏感词问题列表导出。</w:t>
            </w:r>
          </w:p>
          <w:p>
            <w:pPr>
              <w:pStyle w:val="33"/>
              <w:keepNext w:val="0"/>
              <w:keepLines w:val="0"/>
              <w:pageBreakBefore w:val="0"/>
              <w:kinsoku/>
              <w:wordWrap w:val="0"/>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（12）网站内容预检需要采用正向查错与反向查错技术相融合的敏感词自动机模式，增强审核功能。</w:t>
            </w:r>
          </w:p>
          <w:p>
            <w:pPr>
              <w:keepNext w:val="0"/>
              <w:keepLines w:val="0"/>
              <w:pageBreakBefore w:val="0"/>
              <w:widowControl/>
              <w:kinsoku/>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（13）本次项目需要采用现代自然语言处理分析技术和敏感词、错别字库相结合的方法，检测内容中存在的错别字、敏感信息。</w:t>
            </w:r>
          </w:p>
          <w:p>
            <w:pPr>
              <w:keepNext w:val="0"/>
              <w:keepLines w:val="0"/>
              <w:pageBreakBefore w:val="0"/>
              <w:widowControl/>
              <w:kinsoku/>
              <w:overflowPunct/>
              <w:topLinePunct w:val="0"/>
              <w:autoSpaceDE/>
              <w:autoSpaceDN/>
              <w:bidi w:val="0"/>
              <w:adjustRightInd/>
              <w:snapToGrid/>
              <w:spacing w:line="240" w:lineRule="auto"/>
              <w:jc w:val="left"/>
              <w:textAlignment w:val="auto"/>
              <w:rPr>
                <w:rFonts w:hint="eastAsia" w:ascii="宋体" w:hAnsi="宋体" w:cs="宋体"/>
                <w:color w:val="000000"/>
                <w:kern w:val="0"/>
                <w:sz w:val="24"/>
              </w:rPr>
            </w:pPr>
            <w:r>
              <w:rPr>
                <w:rFonts w:hint="eastAsia" w:ascii="宋体" w:hAnsi="宋体" w:eastAsia="宋体" w:cs="宋体"/>
                <w:color w:val="000000"/>
                <w:kern w:val="0"/>
                <w:sz w:val="24"/>
                <w:szCs w:val="24"/>
                <w:lang w:val="en-US" w:eastAsia="zh-CN" w:bidi="ar-SA"/>
              </w:rPr>
              <w:t>（14）系统敏感词库需支持学校自定义词的添加，用于学校定制化检测，根据需要每日实时更新</w:t>
            </w:r>
          </w:p>
        </w:tc>
      </w:tr>
      <w:tr>
        <w:tblPrEx>
          <w:tblCellMar>
            <w:top w:w="0" w:type="dxa"/>
            <w:left w:w="108" w:type="dxa"/>
            <w:bottom w:w="0" w:type="dxa"/>
            <w:right w:w="108" w:type="dxa"/>
          </w:tblCellMar>
        </w:tblPrEx>
        <w:trPr>
          <w:trHeight w:val="1080" w:hRule="atLeast"/>
        </w:trPr>
        <w:tc>
          <w:tcPr>
            <w:tcW w:w="231"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962"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新媒体发布</w:t>
            </w: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(1)新媒体审核流程设置：支持微信、微博等新媒体内容发布的可视化审核流程设置，实现新媒体内容发布前的内容审核。支持学校对二级部门在各新媒体平台上发布的所有内容的查看和管理。</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(2) 新媒体敏感信息检测：支持微博、微信内容发布前、审核过程中的敏感信息检测提醒，支持对二级部门所发布的内容进行统一的敏感信息检测。</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(3) 运营分析统计：支持对二级部门新媒体运营情况进行统计分析，包括账号数量、发文数量、粉丝数量等。</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(4) 支持按照部门为管理单元，提供新媒体账号（微信、微博）的新增和添加，有权限的用户可以在多个账号类型进行切换。</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(5) 支持全媒体资源库的管理，可以在资源列表中查看资源详情，进行资源预览，可以查看当前资源的历史分支版本。</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(6) 支持统一对全媒体资源进行检索和分类的查询查看，支持对平台中已发布微博、微信公众号文章进行一键撤稿。</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(7) 支持网站文章推送到本部门新媒体帐号，也可在新媒体内容编辑时，选择本部门网站已发布的任意文章作为素材编辑发布。</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(8) 支持微信公众号管理，可以切换多个微信公众号，支持公众号自动回复和自定义菜单。</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(9) 提供微信素材管理，可以将已有微信素材、网站素材、资源库素材等其他推荐素材快速导入素材编辑器进行编辑合成。</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(10) 系统具备编辑器，提供样式多样，持续更新的微信公众号文章排版素材。同时，实现微信公众号文章编辑时，真正打通使用流程，方便快捷，无需来回复制粘贴。</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(11) 系统内置微博编辑器，可以快速在平台编辑微博文章，编辑时可以在网站素材和资源库中选择合适信息资源发布至微博。</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(12) 支持微博发布历史查看，可以对已发布的微博进行重新编辑，并将微博发布的历史文章快速推荐至其他微博。</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（13）支持发布预览，可以模拟浏览当前账号在微博发布文章展示的效果。</w:t>
            </w:r>
          </w:p>
        </w:tc>
      </w:tr>
      <w:tr>
        <w:tblPrEx>
          <w:tblCellMar>
            <w:top w:w="0" w:type="dxa"/>
            <w:left w:w="108" w:type="dxa"/>
            <w:bottom w:w="0" w:type="dxa"/>
            <w:right w:w="108" w:type="dxa"/>
          </w:tblCellMar>
        </w:tblPrEx>
        <w:trPr>
          <w:trHeight w:val="822" w:hRule="atLeast"/>
        </w:trPr>
        <w:tc>
          <w:tcPr>
            <w:tcW w:w="231"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962"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统计分析</w:t>
            </w: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 支持针对网站访问的相关数据统计，包括统计访问记录、页面浏览数、来访IP数、访问时间段、访问排名及来访省份统计。</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(2) 支持针对网站内容的相关数据统计，包括网站管理员信息量、栏目信息量、分组信息量、栏目新闻数、网站在线管理员等数据的统计。</w:t>
            </w:r>
          </w:p>
        </w:tc>
      </w:tr>
      <w:tr>
        <w:tblPrEx>
          <w:tblCellMar>
            <w:top w:w="0" w:type="dxa"/>
            <w:left w:w="108" w:type="dxa"/>
            <w:bottom w:w="0" w:type="dxa"/>
            <w:right w:w="108" w:type="dxa"/>
          </w:tblCellMar>
        </w:tblPrEx>
        <w:trPr>
          <w:trHeight w:val="1086"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(3) 支持对网站群系统相关数据的统计，包括站点访问量排名、站点栏目数量排名、站群文章数、站点文章数、站群在线管理员、站点投递信息量、站点接收信息量等数据的统计。</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(4) 对微信、微博等各发布渠道的文章按照阅读量等进行热度统计，综合展示当前单位内各新媒体渠道的热门文章。</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(5) 与微信、微博粉丝数据打通，可查看各媒体的关注情况。</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（6）支持针对最新发布的文章实现监控。</w:t>
            </w:r>
          </w:p>
        </w:tc>
      </w:tr>
      <w:tr>
        <w:tblPrEx>
          <w:tblCellMar>
            <w:top w:w="0" w:type="dxa"/>
            <w:left w:w="108" w:type="dxa"/>
            <w:bottom w:w="0" w:type="dxa"/>
            <w:right w:w="108" w:type="dxa"/>
          </w:tblCellMar>
        </w:tblPrEx>
        <w:trPr>
          <w:trHeight w:val="702" w:hRule="atLeast"/>
        </w:trPr>
        <w:tc>
          <w:tcPr>
            <w:tcW w:w="231"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962"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安全防护</w:t>
            </w: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1、数据备份安全</w:t>
            </w:r>
          </w:p>
        </w:tc>
      </w:tr>
      <w:tr>
        <w:tblPrEx>
          <w:tblCellMar>
            <w:top w:w="0" w:type="dxa"/>
            <w:left w:w="108" w:type="dxa"/>
            <w:bottom w:w="0" w:type="dxa"/>
            <w:right w:w="108" w:type="dxa"/>
          </w:tblCellMar>
        </w:tblPrEx>
        <w:trPr>
          <w:trHeight w:val="1473"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 要求具备独立的远程异地备份系统，使用独立的后台实现登录及备份快照管理和恢复，系统支持对网站进行快照式备份，恢复过程可针对数据单独恢复或对网站数据及模板进行全量恢复。同时，系统提供自动检测备份包的完整性功能。</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(2) 网站群系统要求具有站点恢复功能，子站不需要单独备份，可直接使用系统备份文件实现抽取式恢复。</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(3) 系统提供备份包自动清理功能。用户可以通过设置清理策略，系统会根据策略定时自行清理掉不需要的备份包，节省磁盘空间占用。</w:t>
            </w:r>
          </w:p>
        </w:tc>
      </w:tr>
      <w:tr>
        <w:tblPrEx>
          <w:tblCellMar>
            <w:top w:w="0" w:type="dxa"/>
            <w:left w:w="108" w:type="dxa"/>
            <w:bottom w:w="0" w:type="dxa"/>
            <w:right w:w="108" w:type="dxa"/>
          </w:tblCellMar>
        </w:tblPrEx>
        <w:trPr>
          <w:trHeight w:val="597"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2、安全防护措施</w:t>
            </w:r>
          </w:p>
        </w:tc>
      </w:tr>
      <w:tr>
        <w:tblPrEx>
          <w:tblCellMar>
            <w:top w:w="0" w:type="dxa"/>
            <w:left w:w="108" w:type="dxa"/>
            <w:bottom w:w="0" w:type="dxa"/>
            <w:right w:w="108" w:type="dxa"/>
          </w:tblCellMar>
        </w:tblPrEx>
        <w:trPr>
          <w:trHeight w:val="1368"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 支持密码强度规则设置，并且提供简单密码口令库，对密码进行统一查看、管理维护。使用简单口令库中的密码在创建用户时系统会自动阻止。系统针对密码加密，采用国密算法，保障密码不被暴力猜解。</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(2) 网站群系统要求具有IP规则设置和账号安全管理功能，管理员可以设置不同的IP范围，用来限制管理员后台登录。</w:t>
            </w:r>
          </w:p>
        </w:tc>
      </w:tr>
      <w:tr>
        <w:tblPrEx>
          <w:tblCellMar>
            <w:top w:w="0" w:type="dxa"/>
            <w:left w:w="108" w:type="dxa"/>
            <w:bottom w:w="0" w:type="dxa"/>
            <w:right w:w="108" w:type="dxa"/>
          </w:tblCellMar>
        </w:tblPrEx>
        <w:trPr>
          <w:trHeight w:val="1413"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(3) 系统应内置应用防火墙，内置被动防御策略集，针对危险行为进行IP封禁，并可管理黑名单及白名单，通过使用入侵防护日志，可以详细了解攻击者的归属地、IP地址、攻击位置、攻击特征以及攻击时间等重要信息。</w:t>
            </w:r>
          </w:p>
        </w:tc>
      </w:tr>
      <w:tr>
        <w:tblPrEx>
          <w:tblCellMar>
            <w:top w:w="0" w:type="dxa"/>
            <w:left w:w="108" w:type="dxa"/>
            <w:bottom w:w="0" w:type="dxa"/>
            <w:right w:w="108" w:type="dxa"/>
          </w:tblCellMar>
        </w:tblPrEx>
        <w:trPr>
          <w:trHeight w:val="1041"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(4) 系统应支持危险文件检测，检测服务器中包含特殊代码的文件，并提供检测日志，同时允许手动、自动更新危险网站黑名单及信任网站白名单。</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(5) 系统应支持网站群体检功能，提供危险项目、安全项目、其他项目的系统体检、并可以在体检结果后直接对结果进行处理操作。</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(6) 在用户登录和信息传递过程中，系统支持外部SSL协议对用户名和密码的传输进行加密，保证关键信息的通信保密性。</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(7) 平台需要具备动态内容安全防护功能，支持对整个站群的所有动态页面进行IP、URL等层面和拦截处理，保证我校平台的稳定运行。</w:t>
            </w:r>
          </w:p>
        </w:tc>
      </w:tr>
      <w:tr>
        <w:tblPrEx>
          <w:tblCellMar>
            <w:top w:w="0" w:type="dxa"/>
            <w:left w:w="108" w:type="dxa"/>
            <w:bottom w:w="0" w:type="dxa"/>
            <w:right w:w="108" w:type="dxa"/>
          </w:tblCellMar>
        </w:tblPrEx>
        <w:trPr>
          <w:trHeight w:val="657"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3、接口管控</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(1)本次投标平台需要提供开放的API接口，支持二次开发，能实现与其他应用系统的数据交换。</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(2)系统后台需要对网站开放接口调用的授权进行管理，实现开放接口的调用的安全管控。</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（3）平台需要详细记录其他应用系统对网站群的调用，完成跟踪其他应用系统调用过程。</w:t>
            </w:r>
          </w:p>
        </w:tc>
      </w:tr>
      <w:tr>
        <w:tblPrEx>
          <w:tblCellMar>
            <w:top w:w="0" w:type="dxa"/>
            <w:left w:w="108" w:type="dxa"/>
            <w:bottom w:w="0" w:type="dxa"/>
            <w:right w:w="108" w:type="dxa"/>
          </w:tblCellMar>
        </w:tblPrEx>
        <w:trPr>
          <w:trHeight w:val="822" w:hRule="atLeast"/>
        </w:trPr>
        <w:tc>
          <w:tcPr>
            <w:tcW w:w="231"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962"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安全中心</w:t>
            </w: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1、安全预警</w:t>
            </w:r>
          </w:p>
        </w:tc>
      </w:tr>
      <w:tr>
        <w:tblPrEx>
          <w:tblCellMar>
            <w:top w:w="0" w:type="dxa"/>
            <w:left w:w="108" w:type="dxa"/>
            <w:bottom w:w="0" w:type="dxa"/>
            <w:right w:w="108" w:type="dxa"/>
          </w:tblCellMar>
        </w:tblPrEx>
        <w:trPr>
          <w:trHeight w:val="1383"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提供统一的安全中心，可展示网站群系统部署结构，完整结构包含终端、发布机（多个）、运行机、管理机、远备、冷备、数据库等，可以展示各服务器运行状态及相关参数，方便管理员直观查看系统运行整体情况。</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(2) 提供展示安全防护项功能数量、敏感词库数量、攻击防御数量、近7日完整备份包，其中敏感词库可以进行云端更新。</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(3)支持自动预警及检测，自动预警系统运维情况，点击运维情况可以进行对应的安全操作。</w:t>
            </w:r>
          </w:p>
        </w:tc>
      </w:tr>
      <w:tr>
        <w:tblPrEx>
          <w:tblCellMar>
            <w:top w:w="0" w:type="dxa"/>
            <w:left w:w="108" w:type="dxa"/>
            <w:bottom w:w="0" w:type="dxa"/>
            <w:right w:w="108" w:type="dxa"/>
          </w:tblCellMar>
        </w:tblPrEx>
        <w:trPr>
          <w:trHeight w:val="717"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2、安全防护控制</w:t>
            </w:r>
          </w:p>
        </w:tc>
      </w:tr>
      <w:tr>
        <w:tblPrEx>
          <w:tblCellMar>
            <w:top w:w="0" w:type="dxa"/>
            <w:left w:w="108" w:type="dxa"/>
            <w:bottom w:w="0" w:type="dxa"/>
            <w:right w:w="108" w:type="dxa"/>
          </w:tblCellMar>
        </w:tblPrEx>
        <w:trPr>
          <w:trHeight w:val="88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 提供系统安全防护控制功能，从系统防火墙、应用防火墙、用户访问控制等维度进行网站群系统防护功能控制。</w:t>
            </w:r>
          </w:p>
        </w:tc>
      </w:tr>
      <w:tr>
        <w:tblPrEx>
          <w:tblCellMar>
            <w:top w:w="0" w:type="dxa"/>
            <w:left w:w="108" w:type="dxa"/>
            <w:bottom w:w="0" w:type="dxa"/>
            <w:right w:w="108" w:type="dxa"/>
          </w:tblCellMar>
        </w:tblPrEx>
        <w:trPr>
          <w:trHeight w:val="981"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(2) 安全防护控制至少包含文件防火墙、sql语法检查、注入防火墙、xss防火墙、dwr防火墙、网站访问IP封禁、账号冻结、强制修改密码、弱密码等防护项目。</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(3)安全防护功能可以根据开启状态进行筛选。</w:t>
            </w:r>
          </w:p>
        </w:tc>
      </w:tr>
      <w:tr>
        <w:tblPrEx>
          <w:tblCellMar>
            <w:top w:w="0" w:type="dxa"/>
            <w:left w:w="108" w:type="dxa"/>
            <w:bottom w:w="0" w:type="dxa"/>
            <w:right w:w="108" w:type="dxa"/>
          </w:tblCellMar>
        </w:tblPrEx>
        <w:trPr>
          <w:trHeight w:val="73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3、系统运维监控</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 支持查看服务器运行状态，了解资源使用情况。</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(2) 展示服务器CPU、内存、应用内存使用状态。</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(3) 支持查看和导出历史使用状态数据。</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4、重保支持</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 日志管理中心</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平台需要提供重保护网时期的工作台，实现重点操作监控及详细的日志跟踪，方便护网工作人员及时发现问题，提升护网效率。</w:t>
            </w:r>
          </w:p>
        </w:tc>
      </w:tr>
      <w:tr>
        <w:tblPrEx>
          <w:tblCellMar>
            <w:top w:w="0" w:type="dxa"/>
            <w:left w:w="108" w:type="dxa"/>
            <w:bottom w:w="0" w:type="dxa"/>
            <w:right w:w="108" w:type="dxa"/>
          </w:tblCellMar>
        </w:tblPrEx>
        <w:trPr>
          <w:trHeight w:val="1146"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(2) 系统文件监控</w:t>
            </w:r>
            <w:r>
              <w:rPr>
                <w:rFonts w:hint="eastAsia" w:ascii="宋体" w:hAnsi="宋体" w:cs="宋体"/>
                <w:color w:val="000000"/>
                <w:kern w:val="0"/>
                <w:sz w:val="24"/>
              </w:rPr>
              <w:br w:type="textWrapping"/>
            </w:r>
            <w:r>
              <w:rPr>
                <w:rFonts w:hint="eastAsia" w:ascii="宋体" w:hAnsi="宋体"/>
                <w:sz w:val="24"/>
                <w:highlight w:val="none"/>
                <w:shd w:val="clear" w:color="auto" w:fill="FFFFFF"/>
              </w:rPr>
              <w:t>▲平台需支持对网站群系统进行监控，及时发现对网站群系统文件的修改，防止对系统的篡改。</w:t>
            </w:r>
            <w:r>
              <w:rPr>
                <w:rFonts w:hint="eastAsia" w:ascii="Times New Roman" w:hAnsi="Times New Roman" w:eastAsia="宋体" w:cs="Times New Roman"/>
                <w:b/>
                <w:bCs/>
                <w:sz w:val="24"/>
                <w:highlight w:val="none"/>
              </w:rPr>
              <w:t>(响应文件中提供实现该项功能的截图）</w:t>
            </w:r>
          </w:p>
        </w:tc>
      </w:tr>
      <w:tr>
        <w:tblPrEx>
          <w:tblCellMar>
            <w:top w:w="0" w:type="dxa"/>
            <w:left w:w="108" w:type="dxa"/>
            <w:bottom w:w="0" w:type="dxa"/>
            <w:right w:w="108" w:type="dxa"/>
          </w:tblCellMar>
        </w:tblPrEx>
        <w:trPr>
          <w:trHeight w:val="6093" w:hRule="atLeast"/>
        </w:trPr>
        <w:tc>
          <w:tcPr>
            <w:tcW w:w="231"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11</w:t>
            </w:r>
          </w:p>
        </w:tc>
        <w:tc>
          <w:tcPr>
            <w:tcW w:w="962"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应用开放管理平台</w:t>
            </w:r>
          </w:p>
        </w:tc>
        <w:tc>
          <w:tcPr>
            <w:tcW w:w="3807"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sz w:val="24"/>
              </w:rPr>
            </w:pPr>
            <w:r>
              <w:rPr>
                <w:rFonts w:hint="eastAsia"/>
                <w:sz w:val="24"/>
              </w:rPr>
              <w:t>（1）应用管理系统能够与网站群无缝集成，实现网站与应用的动静分离。</w:t>
            </w:r>
          </w:p>
          <w:p>
            <w:pPr>
              <w:keepNext w:val="0"/>
              <w:keepLines w:val="0"/>
              <w:pageBreakBefore w:val="0"/>
              <w:widowControl w:val="0"/>
              <w:kinsoku/>
              <w:wordWrap/>
              <w:overflowPunct/>
              <w:topLinePunct w:val="0"/>
              <w:autoSpaceDE/>
              <w:autoSpaceDN/>
              <w:bidi w:val="0"/>
              <w:adjustRightInd/>
              <w:snapToGrid/>
              <w:spacing w:line="264" w:lineRule="auto"/>
              <w:textAlignment w:val="auto"/>
              <w:rPr>
                <w:sz w:val="24"/>
              </w:rPr>
            </w:pPr>
            <w:r>
              <w:rPr>
                <w:rFonts w:hint="eastAsia"/>
                <w:sz w:val="24"/>
              </w:rPr>
              <w:t>（2）系统分为应用开放平台信息中心管理端、网站群应用开放平台后端管理。</w:t>
            </w:r>
          </w:p>
          <w:p>
            <w:pPr>
              <w:keepNext w:val="0"/>
              <w:keepLines w:val="0"/>
              <w:pageBreakBefore w:val="0"/>
              <w:widowControl w:val="0"/>
              <w:kinsoku/>
              <w:wordWrap/>
              <w:overflowPunct/>
              <w:topLinePunct w:val="0"/>
              <w:autoSpaceDE/>
              <w:autoSpaceDN/>
              <w:bidi w:val="0"/>
              <w:adjustRightInd/>
              <w:snapToGrid/>
              <w:spacing w:line="264" w:lineRule="auto"/>
              <w:textAlignment w:val="auto"/>
              <w:rPr>
                <w:sz w:val="24"/>
              </w:rPr>
            </w:pPr>
            <w:r>
              <w:rPr>
                <w:rFonts w:hint="eastAsia"/>
                <w:sz w:val="24"/>
              </w:rPr>
              <w:t>（3）</w:t>
            </w:r>
            <w:r>
              <w:rPr>
                <w:sz w:val="24"/>
              </w:rPr>
              <w:t>系统提供多款内置应用，提供后台管理，用来建设与管理应用</w:t>
            </w:r>
            <w:r>
              <w:rPr>
                <w:rFonts w:hint="eastAsia"/>
                <w:sz w:val="24"/>
              </w:rPr>
              <w:t>，</w:t>
            </w:r>
            <w:r>
              <w:rPr>
                <w:sz w:val="24"/>
              </w:rPr>
              <w:t>提供网站群应用开放平台管理二级部门应用。</w:t>
            </w:r>
          </w:p>
          <w:p>
            <w:pPr>
              <w:keepNext w:val="0"/>
              <w:keepLines w:val="0"/>
              <w:pageBreakBefore w:val="0"/>
              <w:widowControl w:val="0"/>
              <w:kinsoku/>
              <w:wordWrap/>
              <w:overflowPunct/>
              <w:topLinePunct w:val="0"/>
              <w:autoSpaceDE/>
              <w:autoSpaceDN/>
              <w:bidi w:val="0"/>
              <w:adjustRightInd/>
              <w:snapToGrid/>
              <w:spacing w:line="264" w:lineRule="auto"/>
              <w:textAlignment w:val="auto"/>
              <w:rPr>
                <w:sz w:val="24"/>
              </w:rPr>
            </w:pPr>
            <w:r>
              <w:rPr>
                <w:rFonts w:hint="eastAsia"/>
                <w:sz w:val="24"/>
              </w:rPr>
              <w:t>（4）支持针对应用的一键关停，</w:t>
            </w:r>
            <w:r>
              <w:rPr>
                <w:sz w:val="24"/>
              </w:rPr>
              <w:t>在紧急情况下，可通过点击“一键关停”按钮，对该平台所有站点的所有应用的前端进行禁用。且不影响网站群本身信息发布与管理。在问题解决之后，将该按钮切换回“一键启用”状态，所有应用恢复正常使用</w:t>
            </w:r>
            <w:r>
              <w:rPr>
                <w:rFonts w:hint="eastAsia"/>
                <w:sz w:val="24"/>
              </w:rPr>
              <w:t>，实现动静分离</w:t>
            </w:r>
            <w:r>
              <w:rPr>
                <w:sz w:val="24"/>
              </w:rPr>
              <w:t>。</w:t>
            </w:r>
          </w:p>
          <w:p>
            <w:pPr>
              <w:keepNext w:val="0"/>
              <w:keepLines w:val="0"/>
              <w:pageBreakBefore w:val="0"/>
              <w:widowControl w:val="0"/>
              <w:kinsoku/>
              <w:wordWrap/>
              <w:overflowPunct/>
              <w:topLinePunct w:val="0"/>
              <w:autoSpaceDE/>
              <w:autoSpaceDN/>
              <w:bidi w:val="0"/>
              <w:adjustRightInd/>
              <w:snapToGrid/>
              <w:spacing w:line="264" w:lineRule="auto"/>
              <w:textAlignment w:val="auto"/>
              <w:rPr>
                <w:sz w:val="24"/>
              </w:rPr>
            </w:pPr>
            <w:r>
              <w:rPr>
                <w:rFonts w:hint="eastAsia"/>
                <w:sz w:val="24"/>
              </w:rPr>
              <w:t>（5）</w:t>
            </w:r>
            <w:r>
              <w:rPr>
                <w:sz w:val="24"/>
              </w:rPr>
              <w:t>对平台用户的管理，包括基本的新增、删除、编辑和查询功能。新增用户时会将用户和平台组织机构进行关联绑定。</w:t>
            </w:r>
          </w:p>
          <w:p>
            <w:pPr>
              <w:keepNext w:val="0"/>
              <w:keepLines w:val="0"/>
              <w:pageBreakBefore w:val="0"/>
              <w:widowControl w:val="0"/>
              <w:kinsoku/>
              <w:wordWrap/>
              <w:overflowPunct/>
              <w:topLinePunct w:val="0"/>
              <w:autoSpaceDE/>
              <w:autoSpaceDN/>
              <w:bidi w:val="0"/>
              <w:adjustRightInd/>
              <w:snapToGrid/>
              <w:spacing w:line="264" w:lineRule="auto"/>
              <w:textAlignment w:val="auto"/>
              <w:rPr>
                <w:sz w:val="24"/>
                <w:highlight w:val="none"/>
              </w:rPr>
            </w:pPr>
            <w:r>
              <w:rPr>
                <w:rFonts w:hint="eastAsia"/>
                <w:sz w:val="24"/>
                <w:highlight w:val="none"/>
              </w:rPr>
              <w:t>（6）▲系统支持主动</w:t>
            </w:r>
            <w:r>
              <w:rPr>
                <w:sz w:val="24"/>
                <w:highlight w:val="none"/>
              </w:rPr>
              <w:t>申请应用</w:t>
            </w:r>
            <w:r>
              <w:rPr>
                <w:rFonts w:hint="eastAsia"/>
                <w:sz w:val="24"/>
                <w:highlight w:val="none"/>
              </w:rPr>
              <w:t>，</w:t>
            </w:r>
            <w:r>
              <w:rPr>
                <w:sz w:val="24"/>
                <w:highlight w:val="none"/>
              </w:rPr>
              <w:t>进入应用市场显示信息中心所添加的所有应用。对这些应用进行申请使用。申请前可以查看应用基本信息，对应用进行初步了解。点击申请某个应用，填写申请原因，提交等待系统端审批。</w:t>
            </w:r>
            <w:r>
              <w:rPr>
                <w:rFonts w:hint="eastAsia" w:ascii="Times New Roman" w:hAnsi="Times New Roman" w:eastAsia="宋体" w:cs="Times New Roman"/>
                <w:b/>
                <w:bCs/>
                <w:sz w:val="24"/>
                <w:highlight w:val="none"/>
              </w:rPr>
              <w:t>(响应文件中提供实现该项功能的截图）</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sz w:val="24"/>
              </w:rPr>
            </w:pPr>
            <w:r>
              <w:rPr>
                <w:rFonts w:hint="eastAsia"/>
                <w:sz w:val="24"/>
              </w:rPr>
              <w:t>（7）</w:t>
            </w:r>
            <w:r>
              <w:rPr>
                <w:sz w:val="24"/>
              </w:rPr>
              <w:t>应用列表显示平台使用过和正在使用的全部应用。默认显示全部状态，可切换查看正常状态和禁用状态的应用。支持搜索查询。可点击查看详情。</w:t>
            </w:r>
          </w:p>
        </w:tc>
      </w:tr>
      <w:tr>
        <w:tblPrEx>
          <w:tblCellMar>
            <w:top w:w="0" w:type="dxa"/>
            <w:left w:w="108" w:type="dxa"/>
            <w:bottom w:w="0" w:type="dxa"/>
            <w:right w:w="108" w:type="dxa"/>
          </w:tblCellMar>
        </w:tblPrEx>
        <w:trPr>
          <w:trHeight w:val="822" w:hRule="atLeast"/>
        </w:trPr>
        <w:tc>
          <w:tcPr>
            <w:tcW w:w="231"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962"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智能搜索系统</w:t>
            </w: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1、统一的信息搜索入口，实现多种异构内容源的一键检索，将网站群所有站点统一纳入搜索范围；</w:t>
            </w:r>
          </w:p>
        </w:tc>
      </w:tr>
      <w:tr>
        <w:tblPrEx>
          <w:tblCellMar>
            <w:top w:w="0" w:type="dxa"/>
            <w:left w:w="108" w:type="dxa"/>
            <w:bottom w:w="0" w:type="dxa"/>
            <w:right w:w="108" w:type="dxa"/>
          </w:tblCellMar>
        </w:tblPrEx>
        <w:trPr>
          <w:trHeight w:val="1170"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2、支持模糊搜索、标题搜索、全文检索，按照内容的来源系统、所属站点、所属部门、资料类型等维度进行检索，支持近义词检索，支持对附件（PDF、word、Excel、PPT、txt)内容进行检索；</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3、系统支持搜索词过滤，对敏感词、敏感内容用户搜索后系统可自动过滤；</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4、支持搜索结果的聚合和排序，可以实现按照主题进行搜索结果的聚合展现；</w:t>
            </w:r>
          </w:p>
        </w:tc>
      </w:tr>
      <w:tr>
        <w:tblPrEx>
          <w:tblCellMar>
            <w:top w:w="0" w:type="dxa"/>
            <w:left w:w="108" w:type="dxa"/>
            <w:bottom w:w="0" w:type="dxa"/>
            <w:right w:w="108" w:type="dxa"/>
          </w:tblCellMar>
        </w:tblPrEx>
        <w:trPr>
          <w:trHeight w:val="822" w:hRule="atLeast"/>
        </w:trPr>
        <w:tc>
          <w:tcPr>
            <w:tcW w:w="23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5、提供热门搜索内容排名、热门搜索词排名。</w:t>
            </w:r>
          </w:p>
        </w:tc>
      </w:tr>
      <w:tr>
        <w:tblPrEx>
          <w:tblCellMar>
            <w:top w:w="0" w:type="dxa"/>
            <w:left w:w="108" w:type="dxa"/>
            <w:bottom w:w="0" w:type="dxa"/>
            <w:right w:w="108" w:type="dxa"/>
          </w:tblCellMar>
        </w:tblPrEx>
        <w:trPr>
          <w:trHeight w:val="2127" w:hRule="atLeast"/>
        </w:trPr>
        <w:tc>
          <w:tcPr>
            <w:tcW w:w="231"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962"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网页防篡改系统</w:t>
            </w: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sz w:val="24"/>
                <w:highlight w:val="none"/>
                <w:shd w:val="clear" w:color="auto" w:fill="FFFFFF"/>
              </w:rPr>
              <w:t>▲系统需内置网页防篡改系统，能够对网站群整体运行、管理和维护提供安全防护，对站点进行安全防护，对系统资源占用进行管理，对站点页面定期检测，不仅实现了对静态网页和脚本的实时检测和恢复，更可以保护数据库中的动态内容免受来自于web的攻击和篡改，也可以支持离线/链接状态下的防篡改保护，解决网页防篡改问题。</w:t>
            </w:r>
            <w:r>
              <w:rPr>
                <w:rFonts w:hint="eastAsia" w:ascii="Times New Roman" w:hAnsi="Times New Roman" w:eastAsia="宋体" w:cs="Times New Roman"/>
                <w:b/>
                <w:bCs/>
                <w:sz w:val="24"/>
                <w:highlight w:val="none"/>
              </w:rPr>
              <w:t>(响应文件中提供实现该项功能的截图）</w:t>
            </w:r>
          </w:p>
        </w:tc>
      </w:tr>
      <w:tr>
        <w:tblPrEx>
          <w:tblCellMar>
            <w:top w:w="0" w:type="dxa"/>
            <w:left w:w="108" w:type="dxa"/>
            <w:bottom w:w="0" w:type="dxa"/>
            <w:right w:w="108" w:type="dxa"/>
          </w:tblCellMar>
        </w:tblPrEx>
        <w:trPr>
          <w:trHeight w:val="1650" w:hRule="atLeast"/>
        </w:trPr>
        <w:tc>
          <w:tcPr>
            <w:tcW w:w="231"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14</w:t>
            </w:r>
          </w:p>
        </w:tc>
        <w:tc>
          <w:tcPr>
            <w:tcW w:w="96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三审三校</w:t>
            </w:r>
          </w:p>
        </w:tc>
        <w:tc>
          <w:tcPr>
            <w:tcW w:w="380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系统具有可视化审核流程配置功能，可以针对不同的栏目设置不同的审核体系，审核过程全程可视化，可以配置多级审核流程，可以对多个栏目快速设置相同的审核流程。可以查看被审核文章当前的审核状态及处理人、处理意见等相关信息。能够针对微信、微博设计专属的审核流程。</w:t>
            </w:r>
          </w:p>
        </w:tc>
      </w:tr>
      <w:tr>
        <w:tblPrEx>
          <w:tblCellMar>
            <w:top w:w="0" w:type="dxa"/>
            <w:left w:w="108" w:type="dxa"/>
            <w:bottom w:w="0" w:type="dxa"/>
            <w:right w:w="108" w:type="dxa"/>
          </w:tblCellMar>
        </w:tblPrEx>
        <w:trPr>
          <w:trHeight w:val="729" w:hRule="atLeast"/>
        </w:trPr>
        <w:tc>
          <w:tcPr>
            <w:tcW w:w="231"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962"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数据迁移</w:t>
            </w:r>
          </w:p>
        </w:tc>
        <w:tc>
          <w:tcPr>
            <w:tcW w:w="380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bookmarkStart w:id="109" w:name="_Hlk518708765"/>
            <w:r>
              <w:rPr>
                <w:rFonts w:hint="eastAsia" w:ascii="宋体" w:hAnsi="宋体"/>
                <w:sz w:val="24"/>
                <w:highlight w:val="none"/>
                <w:shd w:val="clear" w:color="auto" w:fill="FFFFFF"/>
              </w:rPr>
              <w:t>▲</w:t>
            </w:r>
            <w:r>
              <w:rPr>
                <w:rFonts w:hint="eastAsia" w:ascii="宋体" w:hAnsi="宋体" w:cs="宋体"/>
                <w:color w:val="000000"/>
                <w:kern w:val="0"/>
                <w:sz w:val="24"/>
              </w:rPr>
              <w:t>要求针对学校现有网站数据进行集中迁移建设</w:t>
            </w:r>
            <w:bookmarkEnd w:id="109"/>
            <w:r>
              <w:rPr>
                <w:rFonts w:hint="eastAsia" w:ascii="宋体" w:hAnsi="宋体" w:cs="宋体"/>
                <w:color w:val="000000"/>
                <w:kern w:val="0"/>
                <w:sz w:val="24"/>
              </w:rPr>
              <w:t>，对于网站历史数据应该全面、妥善的保存和延续利用</w:t>
            </w:r>
            <w:r>
              <w:rPr>
                <w:rFonts w:hint="eastAsia" w:ascii="宋体" w:hAnsi="宋体" w:cs="宋体"/>
                <w:color w:val="000000"/>
                <w:kern w:val="0"/>
                <w:sz w:val="24"/>
                <w:lang w:eastAsia="zh-CN"/>
              </w:rPr>
              <w:t>，内容需完整迁移到现有系统中并能进行统一管理、搜索等操作。</w:t>
            </w:r>
            <w:r>
              <w:rPr>
                <w:rFonts w:hint="eastAsia" w:ascii="Times New Roman" w:hAnsi="Times New Roman" w:eastAsia="宋体" w:cs="Times New Roman"/>
                <w:b/>
                <w:bCs/>
                <w:sz w:val="24"/>
                <w:highlight w:val="none"/>
                <w:lang w:eastAsia="zh-CN"/>
              </w:rPr>
              <w:t>（需提供承诺函）</w:t>
            </w:r>
          </w:p>
        </w:tc>
      </w:tr>
      <w:tr>
        <w:tblPrEx>
          <w:tblCellMar>
            <w:top w:w="0" w:type="dxa"/>
            <w:left w:w="108" w:type="dxa"/>
            <w:bottom w:w="0" w:type="dxa"/>
            <w:right w:w="108" w:type="dxa"/>
          </w:tblCellMar>
        </w:tblPrEx>
        <w:trPr>
          <w:trHeight w:val="1413" w:hRule="atLeast"/>
        </w:trPr>
        <w:tc>
          <w:tcPr>
            <w:tcW w:w="231"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16</w:t>
            </w:r>
          </w:p>
        </w:tc>
        <w:tc>
          <w:tcPr>
            <w:tcW w:w="962"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数据对接</w:t>
            </w:r>
          </w:p>
        </w:tc>
        <w:tc>
          <w:tcPr>
            <w:tcW w:w="380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sz w:val="24"/>
                <w:highlight w:val="none"/>
                <w:shd w:val="clear" w:color="auto" w:fill="FFFFFF"/>
              </w:rPr>
              <w:t>▲</w:t>
            </w:r>
            <w:r>
              <w:rPr>
                <w:rFonts w:hint="eastAsia" w:ascii="宋体" w:hAnsi="宋体" w:cs="宋体"/>
                <w:color w:val="000000"/>
                <w:kern w:val="0"/>
                <w:sz w:val="24"/>
              </w:rPr>
              <w:t>需与学校校园平台进行对接整合，包括但不限于用户信息对接（实现统一身份认证对接）、系统入口统一（面向校内的整合至信息门户和智慧校园APP，面向校外的整合至学校网站统一发布）、系统数据对接（与学校数据交换平台对接，实现数据交互）</w:t>
            </w:r>
            <w:r>
              <w:rPr>
                <w:rFonts w:hint="eastAsia" w:ascii="Times New Roman" w:hAnsi="Times New Roman" w:eastAsia="宋体" w:cs="Times New Roman"/>
                <w:b/>
                <w:bCs/>
                <w:sz w:val="24"/>
                <w:highlight w:val="none"/>
                <w:lang w:eastAsia="zh-CN"/>
              </w:rPr>
              <w:t>（</w:t>
            </w:r>
            <w:r>
              <w:rPr>
                <w:rFonts w:hint="eastAsia" w:ascii="Times New Roman" w:hAnsi="Times New Roman" w:eastAsia="宋体" w:cs="Times New Roman"/>
                <w:b/>
                <w:bCs/>
                <w:sz w:val="24"/>
                <w:highlight w:val="none"/>
                <w:lang w:val="en-US" w:eastAsia="zh-CN"/>
              </w:rPr>
              <w:t>需提供承诺函</w:t>
            </w:r>
            <w:r>
              <w:rPr>
                <w:rFonts w:hint="eastAsia" w:ascii="Times New Roman" w:hAnsi="Times New Roman" w:eastAsia="宋体" w:cs="Times New Roman"/>
                <w:b/>
                <w:bCs/>
                <w:sz w:val="24"/>
                <w:highlight w:val="none"/>
                <w:lang w:eastAsia="zh-CN"/>
              </w:rPr>
              <w:t>）</w:t>
            </w: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822" w:hRule="atLeast"/>
        </w:trPr>
        <w:tc>
          <w:tcPr>
            <w:tcW w:w="231"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17</w:t>
            </w:r>
          </w:p>
        </w:tc>
        <w:tc>
          <w:tcPr>
            <w:tcW w:w="96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系统培训</w:t>
            </w:r>
          </w:p>
        </w:tc>
        <w:tc>
          <w:tcPr>
            <w:tcW w:w="380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培训网站管理员文章发布、维护等内容，帮助管理员快速掌握网站管理技巧，根据学校要求每年提供一到两场培训。</w:t>
            </w:r>
          </w:p>
        </w:tc>
      </w:tr>
      <w:tr>
        <w:tblPrEx>
          <w:tblCellMar>
            <w:top w:w="0" w:type="dxa"/>
            <w:left w:w="108" w:type="dxa"/>
            <w:bottom w:w="0" w:type="dxa"/>
            <w:right w:w="108" w:type="dxa"/>
          </w:tblCellMar>
        </w:tblPrEx>
        <w:trPr>
          <w:trHeight w:val="1026" w:hRule="atLeast"/>
        </w:trPr>
        <w:tc>
          <w:tcPr>
            <w:tcW w:w="231"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18</w:t>
            </w:r>
          </w:p>
        </w:tc>
        <w:tc>
          <w:tcPr>
            <w:tcW w:w="962"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网站群微信助手</w:t>
            </w:r>
          </w:p>
        </w:tc>
        <w:tc>
          <w:tcPr>
            <w:tcW w:w="380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系统提供网站群微信助手功能，支持在微信公众号端进行信息采编发管理，网站日常维护工作可不受设备、时间、地域等因素的限制。能通过手机对内容平台进行管理、审批、发布、撤稿等移动管理。</w:t>
            </w:r>
          </w:p>
        </w:tc>
      </w:tr>
      <w:tr>
        <w:tblPrEx>
          <w:tblCellMar>
            <w:top w:w="0" w:type="dxa"/>
            <w:left w:w="108" w:type="dxa"/>
            <w:bottom w:w="0" w:type="dxa"/>
            <w:right w:w="108" w:type="dxa"/>
          </w:tblCellMar>
        </w:tblPrEx>
        <w:trPr>
          <w:trHeight w:val="13198" w:hRule="atLeast"/>
        </w:trPr>
        <w:tc>
          <w:tcPr>
            <w:tcW w:w="231"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19</w:t>
            </w:r>
          </w:p>
        </w:tc>
        <w:tc>
          <w:tcPr>
            <w:tcW w:w="962"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运维及服务保障</w:t>
            </w:r>
          </w:p>
        </w:tc>
        <w:tc>
          <w:tcPr>
            <w:tcW w:w="3807" w:type="pct"/>
            <w:tcBorders>
              <w:top w:val="nil"/>
              <w:left w:val="nil"/>
              <w:bottom w:val="single" w:color="auto" w:sz="4" w:space="0"/>
              <w:right w:val="single" w:color="auto" w:sz="4"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64"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从项目验收合格日起，供应商需要提供3年的运维及保障服务。</w:t>
            </w:r>
            <w:r>
              <w:rPr>
                <w:rFonts w:hint="eastAsia" w:ascii="宋体" w:hAnsi="宋体" w:cs="宋体"/>
                <w:color w:val="000000"/>
                <w:kern w:val="0"/>
                <w:sz w:val="24"/>
              </w:rPr>
              <w:br w:type="textWrapping"/>
            </w:r>
            <w:r>
              <w:rPr>
                <w:rFonts w:hint="eastAsia" w:ascii="宋体" w:hAnsi="宋体" w:cs="宋体"/>
                <w:color w:val="000000"/>
                <w:kern w:val="0"/>
                <w:sz w:val="24"/>
              </w:rPr>
              <w:t>（2）提供7天×24小时×365天的电话支持服务，包括节假日，非工作时间均可通过电话进行各类常见问题疑难解答，问题咨询，产品使用指导等。</w:t>
            </w:r>
          </w:p>
          <w:p>
            <w:pPr>
              <w:keepNext w:val="0"/>
              <w:keepLines w:val="0"/>
              <w:pageBreakBefore w:val="0"/>
              <w:widowControl/>
              <w:numPr>
                <w:ilvl w:val="0"/>
                <w:numId w:val="3"/>
              </w:numPr>
              <w:kinsoku/>
              <w:wordWrap/>
              <w:overflowPunct/>
              <w:topLinePunct w:val="0"/>
              <w:autoSpaceDE/>
              <w:autoSpaceDN/>
              <w:bidi w:val="0"/>
              <w:adjustRightInd/>
              <w:snapToGrid/>
              <w:spacing w:line="264"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在运维保障期内，供应商应提供专门的技术支持工程师，技术支持工程师对用户问题的响应时间不能超过15分钟，用户要求现场排查问题时，需要无条件第一时间赶赴用户现场。常规问题2小时内进行解决，4小时内出具问题分析单。</w:t>
            </w:r>
          </w:p>
          <w:p>
            <w:pPr>
              <w:keepNext w:val="0"/>
              <w:keepLines w:val="0"/>
              <w:pageBreakBefore w:val="0"/>
              <w:widowControl/>
              <w:numPr>
                <w:ilvl w:val="0"/>
                <w:numId w:val="3"/>
              </w:numPr>
              <w:kinsoku/>
              <w:wordWrap/>
              <w:overflowPunct/>
              <w:topLinePunct w:val="0"/>
              <w:autoSpaceDE/>
              <w:autoSpaceDN/>
              <w:bidi w:val="0"/>
              <w:adjustRightInd/>
              <w:snapToGrid/>
              <w:spacing w:line="264"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提供远程操作支持服务，主要包含当进行疑难问题解答，问题咨询等服务时，通过线上远程软件进行辅助，对客户进行一对一操作解答服务。</w:t>
            </w:r>
          </w:p>
          <w:p>
            <w:pPr>
              <w:keepNext w:val="0"/>
              <w:keepLines w:val="0"/>
              <w:pageBreakBefore w:val="0"/>
              <w:widowControl/>
              <w:numPr>
                <w:ilvl w:val="0"/>
                <w:numId w:val="3"/>
              </w:numPr>
              <w:kinsoku/>
              <w:wordWrap/>
              <w:overflowPunct/>
              <w:topLinePunct w:val="0"/>
              <w:autoSpaceDE/>
              <w:autoSpaceDN/>
              <w:bidi w:val="0"/>
              <w:adjustRightInd/>
              <w:snapToGrid/>
              <w:spacing w:line="264"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运维保障期间供应商应提供包括产品日常运维技术支持、bug补丁更新、产品使用指导与咨询、网站故障技术支持等。</w:t>
            </w:r>
          </w:p>
          <w:p>
            <w:pPr>
              <w:keepNext w:val="0"/>
              <w:keepLines w:val="0"/>
              <w:pageBreakBefore w:val="0"/>
              <w:widowControl/>
              <w:numPr>
                <w:ilvl w:val="0"/>
                <w:numId w:val="3"/>
              </w:numPr>
              <w:kinsoku/>
              <w:wordWrap/>
              <w:overflowPunct/>
              <w:topLinePunct w:val="0"/>
              <w:autoSpaceDE/>
              <w:autoSpaceDN/>
              <w:bidi w:val="0"/>
              <w:adjustRightInd/>
              <w:snapToGrid/>
              <w:spacing w:line="264"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需及时对产品bug进行修复，当系统出现故障无法使用时，由工程师介入诊断问题点，并提出修复方案。对平台在运行过程中出现的故障进行修复服务，确保平台稳定，正常运维。</w:t>
            </w:r>
          </w:p>
          <w:p>
            <w:pPr>
              <w:keepNext w:val="0"/>
              <w:keepLines w:val="0"/>
              <w:pageBreakBefore w:val="0"/>
              <w:widowControl/>
              <w:numPr>
                <w:ilvl w:val="0"/>
                <w:numId w:val="3"/>
              </w:numPr>
              <w:kinsoku/>
              <w:wordWrap/>
              <w:overflowPunct/>
              <w:topLinePunct w:val="0"/>
              <w:autoSpaceDE/>
              <w:autoSpaceDN/>
              <w:bidi w:val="0"/>
              <w:adjustRightInd/>
              <w:snapToGrid/>
              <w:spacing w:line="264"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供应商应具备服务小程序。在服务小程序中对站群安全进行云监控，实时预警、智能诊断、及时通知，实现站群智能运维，对重要网站的可用性和页面内容更新情况进行综合展示。</w:t>
            </w:r>
          </w:p>
          <w:p>
            <w:pPr>
              <w:keepNext w:val="0"/>
              <w:keepLines w:val="0"/>
              <w:pageBreakBefore w:val="0"/>
              <w:widowControl/>
              <w:numPr>
                <w:ilvl w:val="0"/>
                <w:numId w:val="3"/>
              </w:numPr>
              <w:kinsoku/>
              <w:wordWrap/>
              <w:overflowPunct/>
              <w:topLinePunct w:val="0"/>
              <w:autoSpaceDE/>
              <w:autoSpaceDN/>
              <w:bidi w:val="0"/>
              <w:adjustRightInd/>
              <w:snapToGrid/>
              <w:spacing w:line="264"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产品提供终身网络安全保障。无论是否在运维期内，需无条件协助进行网络安全漏洞修复。</w:t>
            </w:r>
          </w:p>
          <w:p>
            <w:pPr>
              <w:keepNext w:val="0"/>
              <w:keepLines w:val="0"/>
              <w:pageBreakBefore w:val="0"/>
              <w:widowControl/>
              <w:numPr>
                <w:ilvl w:val="0"/>
                <w:numId w:val="3"/>
              </w:numPr>
              <w:kinsoku/>
              <w:wordWrap/>
              <w:overflowPunct/>
              <w:topLinePunct w:val="0"/>
              <w:autoSpaceDE/>
              <w:autoSpaceDN/>
              <w:bidi w:val="0"/>
              <w:adjustRightInd/>
              <w:snapToGrid/>
              <w:spacing w:line="264"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成交供应商须组织项目团队，负责网站建设和维保服务。项目团队人员配置科学合理、分工明确，至少应包括项目经理、技术负责人、系统分析师、高级信息系统项目管理师、系统架构设计师、软件设计师等。</w:t>
            </w:r>
          </w:p>
          <w:p>
            <w:pPr>
              <w:keepNext w:val="0"/>
              <w:keepLines w:val="0"/>
              <w:pageBreakBefore w:val="0"/>
              <w:widowControl/>
              <w:numPr>
                <w:ilvl w:val="0"/>
                <w:numId w:val="3"/>
              </w:numPr>
              <w:kinsoku/>
              <w:wordWrap/>
              <w:overflowPunct/>
              <w:topLinePunct w:val="0"/>
              <w:autoSpaceDE/>
              <w:autoSpaceDN/>
              <w:bidi w:val="0"/>
              <w:adjustRightInd/>
              <w:snapToGrid/>
              <w:spacing w:line="264"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网站建成后，维保服务人员须保持稳定，固定项目经理、技术负责人专职承担维保工作，未经采购人许可不得更换。</w:t>
            </w:r>
          </w:p>
          <w:p>
            <w:pPr>
              <w:keepNext w:val="0"/>
              <w:keepLines w:val="0"/>
              <w:pageBreakBefore w:val="0"/>
              <w:widowControl/>
              <w:numPr>
                <w:ilvl w:val="0"/>
                <w:numId w:val="3"/>
              </w:numPr>
              <w:kinsoku/>
              <w:wordWrap/>
              <w:overflowPunct/>
              <w:topLinePunct w:val="0"/>
              <w:autoSpaceDE/>
              <w:autoSpaceDN/>
              <w:bidi w:val="0"/>
              <w:adjustRightInd/>
              <w:snapToGrid/>
              <w:spacing w:line="264"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成交供应商应提出具体管理措施，以确保该承诺得到落实。在项目实施过程中，供应商须按照采购人的要求更换采购人认为不合适的人员。</w:t>
            </w:r>
          </w:p>
          <w:p>
            <w:pPr>
              <w:keepNext w:val="0"/>
              <w:keepLines w:val="0"/>
              <w:pageBreakBefore w:val="0"/>
              <w:widowControl/>
              <w:numPr>
                <w:ilvl w:val="0"/>
                <w:numId w:val="3"/>
              </w:numPr>
              <w:kinsoku/>
              <w:wordWrap/>
              <w:overflowPunct/>
              <w:topLinePunct w:val="0"/>
              <w:autoSpaceDE/>
              <w:autoSpaceDN/>
              <w:bidi w:val="0"/>
              <w:adjustRightInd/>
              <w:snapToGrid/>
              <w:spacing w:line="264"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成交供应商负责对我校相关工作人员进行现场或线上培训，以满足我院在日常管理使用和维护方面的需求。培训内容包括应用软件部署实施培训、应用软件操作使用培训和应用软件运行维护培训等。培训的时间、内容、人员、期次等具体内容在具体执行过程中需根据采购人意见进行调整。培训次数每年不少于2次。</w:t>
            </w:r>
          </w:p>
          <w:p>
            <w:pPr>
              <w:keepNext w:val="0"/>
              <w:keepLines w:val="0"/>
              <w:pageBreakBefore w:val="0"/>
              <w:widowControl/>
              <w:numPr>
                <w:ilvl w:val="0"/>
                <w:numId w:val="3"/>
              </w:numPr>
              <w:kinsoku/>
              <w:wordWrap/>
              <w:overflowPunct/>
              <w:topLinePunct w:val="0"/>
              <w:autoSpaceDE/>
              <w:autoSpaceDN/>
              <w:bidi w:val="0"/>
              <w:adjustRightInd/>
              <w:snapToGrid/>
              <w:spacing w:line="264" w:lineRule="auto"/>
              <w:jc w:val="left"/>
              <w:textAlignment w:val="auto"/>
              <w:rPr>
                <w:rFonts w:hint="eastAsia" w:ascii="宋体" w:hAnsi="宋体" w:cs="宋体"/>
                <w:color w:val="000000"/>
                <w:kern w:val="0"/>
                <w:sz w:val="24"/>
              </w:rPr>
            </w:pPr>
            <w:r>
              <w:rPr>
                <w:rFonts w:hint="eastAsia" w:ascii="宋体" w:hAnsi="宋体" w:cs="宋体"/>
                <w:b/>
                <w:bCs/>
                <w:color w:val="000000"/>
                <w:kern w:val="0"/>
                <w:sz w:val="24"/>
              </w:rPr>
              <w:t>成交供应商在响应文件中须提供详细的培训方案</w:t>
            </w:r>
            <w:r>
              <w:rPr>
                <w:rFonts w:hint="eastAsia" w:ascii="宋体" w:hAnsi="宋体" w:cs="宋体"/>
                <w:color w:val="000000"/>
                <w:kern w:val="0"/>
                <w:sz w:val="24"/>
              </w:rPr>
              <w:t>，并按照上述要求进行详细说明。</w:t>
            </w:r>
          </w:p>
        </w:tc>
      </w:tr>
    </w:tbl>
    <w:p>
      <w:pPr>
        <w:spacing w:line="560" w:lineRule="exact"/>
        <w:ind w:firstLine="640" w:firstLineChars="200"/>
        <w:jc w:val="left"/>
        <w:rPr>
          <w:rFonts w:hint="eastAsia" w:ascii="仿宋" w:hAnsi="仿宋" w:eastAsia="仿宋"/>
          <w:i/>
          <w:sz w:val="32"/>
          <w:szCs w:val="32"/>
          <w:u w:val="single"/>
        </w:rPr>
      </w:pPr>
    </w:p>
    <w:p>
      <w:pPr>
        <w:spacing w:line="560" w:lineRule="exact"/>
        <w:ind w:firstLine="640" w:firstLineChars="200"/>
        <w:jc w:val="left"/>
        <w:rPr>
          <w:rFonts w:hint="eastAsia" w:ascii="仿宋" w:hAnsi="仿宋" w:eastAsia="仿宋"/>
          <w:i/>
          <w:sz w:val="32"/>
          <w:szCs w:val="32"/>
          <w:u w:val="single"/>
        </w:rPr>
      </w:pPr>
    </w:p>
    <w:p>
      <w:pPr>
        <w:spacing w:line="560" w:lineRule="exact"/>
        <w:ind w:firstLine="643" w:firstLineChars="200"/>
        <w:jc w:val="left"/>
        <w:rPr>
          <w:rFonts w:hint="eastAsia" w:ascii="仿宋_GB2312" w:hAnsi="仿宋" w:eastAsia="仿宋_GB2312"/>
          <w:b/>
          <w:bCs/>
          <w:sz w:val="32"/>
          <w:szCs w:val="32"/>
        </w:rPr>
      </w:pPr>
      <w:r>
        <w:rPr>
          <w:rFonts w:hint="eastAsia" w:ascii="仿宋_GB2312" w:hAnsi="仿宋" w:eastAsia="仿宋_GB2312"/>
          <w:b/>
          <w:bCs/>
          <w:sz w:val="32"/>
          <w:szCs w:val="32"/>
        </w:rPr>
        <w:t>（2）商务要求</w:t>
      </w:r>
    </w:p>
    <w:p>
      <w:pPr>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1.本合同总金额包括所乙方（中标单位）提供产品费用、安装调试费、测试验收费、培训费、运行维护费用、税金及其他有关的为完成本项目发生的所有费用，招标文件中另有规定的除外。</w:t>
      </w:r>
    </w:p>
    <w:p>
      <w:pPr>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2.乙方应按招标文件规定及响应文件承诺的货产品性能、技术要求、质量标准向甲方（皖南医学院）提供未经使用的全新产品；若技术性能无特殊说明，则按国家有关部门最新颁布的标准及规范为准。</w:t>
      </w:r>
    </w:p>
    <w:p>
      <w:pPr>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3.合同签订后自接采购人通知之日起</w:t>
      </w:r>
      <w:r>
        <w:rPr>
          <w:rFonts w:hint="eastAsia" w:ascii="仿宋_GB2312" w:hAnsi="仿宋" w:eastAsia="仿宋_GB2312"/>
          <w:sz w:val="32"/>
          <w:szCs w:val="32"/>
          <w:lang w:val="en-US" w:eastAsia="zh-CN"/>
        </w:rPr>
        <w:t>50</w:t>
      </w:r>
      <w:r>
        <w:rPr>
          <w:rFonts w:hint="eastAsia" w:ascii="仿宋_GB2312" w:hAnsi="仿宋" w:eastAsia="仿宋_GB2312"/>
          <w:sz w:val="32"/>
          <w:szCs w:val="32"/>
        </w:rPr>
        <w:t>个日历天（除不可抗力、非乙方原因）完成交付，通过采购人验收合格，并完成文档整理工作。运维服务期限为3年。</w:t>
      </w:r>
    </w:p>
    <w:p>
      <w:pPr>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4.乙方保证甲方在使用、接受本合同产品和服务或其任何一部分时，不受第三方提出侵犯其专利权、版权、商标权和工业设计权等知识产权的起诉。一旦出现侵权，由乙方负全部责任。</w:t>
      </w:r>
    </w:p>
    <w:p>
      <w:pPr>
        <w:spacing w:line="520" w:lineRule="exact"/>
        <w:ind w:firstLine="640" w:firstLineChars="200"/>
        <w:jc w:val="left"/>
        <w:rPr>
          <w:rFonts w:hint="default" w:ascii="仿宋_GB2312" w:hAnsi="仿宋" w:eastAsia="仿宋_GB2312" w:cs="Times New Roman"/>
          <w:sz w:val="32"/>
          <w:szCs w:val="32"/>
          <w:lang w:val="en-US" w:eastAsia="zh-CN"/>
        </w:rPr>
      </w:pPr>
      <w:r>
        <w:rPr>
          <w:rFonts w:hint="eastAsia" w:ascii="仿宋_GB2312" w:hAnsi="仿宋" w:eastAsia="仿宋_GB2312"/>
          <w:sz w:val="32"/>
          <w:szCs w:val="32"/>
          <w:lang w:val="en-US" w:eastAsia="zh-CN"/>
        </w:rPr>
        <w:t>5.付款方式</w:t>
      </w:r>
      <w:r>
        <w:rPr>
          <w:rFonts w:hint="eastAsia" w:ascii="仿宋_GB2312" w:hAnsi="仿宋" w:eastAsia="仿宋_GB2312" w:cs="Times New Roman"/>
          <w:sz w:val="32"/>
          <w:szCs w:val="32"/>
          <w:lang w:val="en-US" w:eastAsia="zh-CN"/>
        </w:rPr>
        <w:t>：</w:t>
      </w:r>
      <w:r>
        <w:rPr>
          <w:rFonts w:hint="eastAsia" w:ascii="仿宋_GB2312" w:hAnsi="仿宋" w:eastAsia="仿宋_GB2312" w:cs="Times New Roman"/>
          <w:sz w:val="32"/>
          <w:szCs w:val="32"/>
          <w:lang w:eastAsia="zh-CN"/>
        </w:rPr>
        <w:t>各</w:t>
      </w:r>
      <w:r>
        <w:rPr>
          <w:rFonts w:hint="eastAsia" w:ascii="仿宋_GB2312" w:hAnsi="仿宋" w:eastAsia="仿宋_GB2312" w:cs="Times New Roman"/>
          <w:sz w:val="32"/>
          <w:szCs w:val="32"/>
        </w:rPr>
        <w:t>项目验收合格后支付合同款的70%，项目验收合格后每年考核通过后支付合同款的10%。</w:t>
      </w:r>
    </w:p>
    <w:p>
      <w:pPr>
        <w:spacing w:line="560" w:lineRule="exact"/>
        <w:ind w:firstLine="321" w:firstLineChars="100"/>
        <w:jc w:val="left"/>
        <w:rPr>
          <w:rFonts w:hint="eastAsia" w:ascii="仿宋_GB2312" w:hAnsi="仿宋" w:eastAsia="仿宋_GB2312" w:cs="Times New Roman"/>
          <w:b/>
          <w:bCs/>
          <w:sz w:val="32"/>
          <w:szCs w:val="32"/>
          <w:lang w:val="en-US" w:eastAsia="zh-CN"/>
        </w:rPr>
      </w:pPr>
      <w:r>
        <w:rPr>
          <w:rFonts w:hint="eastAsia" w:ascii="仿宋_GB2312" w:hAnsi="仿宋" w:eastAsia="仿宋_GB2312" w:cs="Times New Roman"/>
          <w:b/>
          <w:bCs/>
          <w:sz w:val="32"/>
          <w:szCs w:val="32"/>
          <w:lang w:val="en-US" w:eastAsia="zh-CN"/>
        </w:rPr>
        <w:t>（3）验收要求</w:t>
      </w:r>
    </w:p>
    <w:p>
      <w:pPr>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.履约验收程序</w:t>
      </w:r>
    </w:p>
    <w:p>
      <w:pPr>
        <w:spacing w:line="520" w:lineRule="exact"/>
        <w:ind w:firstLine="640" w:firstLineChars="200"/>
        <w:jc w:val="left"/>
        <w:rPr>
          <w:rFonts w:hint="eastAsia" w:ascii="仿宋_GB2312" w:hAnsi="仿宋" w:eastAsia="仿宋_GB2312"/>
          <w:sz w:val="32"/>
          <w:szCs w:val="32"/>
          <w:u w:val="none"/>
        </w:rPr>
      </w:pPr>
      <w:r>
        <w:rPr>
          <w:rFonts w:hint="eastAsia" w:ascii="仿宋_GB2312" w:hAnsi="仿宋" w:eastAsia="仿宋_GB2312"/>
          <w:sz w:val="32"/>
          <w:szCs w:val="32"/>
          <w:u w:val="none"/>
        </w:rPr>
        <w:t>（1）.乙方服务期满后应对服务内容作出全面检查和对验收文件进行整理，并列出清单，作为甲方验收和使用的技术条件依据，检验的结果应交甲方。</w:t>
      </w:r>
    </w:p>
    <w:p>
      <w:pPr>
        <w:spacing w:line="520" w:lineRule="exact"/>
        <w:ind w:firstLine="640" w:firstLineChars="200"/>
        <w:jc w:val="left"/>
        <w:rPr>
          <w:rFonts w:hint="eastAsia" w:ascii="仿宋_GB2312" w:hAnsi="仿宋" w:eastAsia="仿宋_GB2312"/>
          <w:sz w:val="32"/>
          <w:szCs w:val="32"/>
          <w:u w:val="none"/>
        </w:rPr>
      </w:pPr>
      <w:r>
        <w:rPr>
          <w:rFonts w:hint="eastAsia" w:ascii="仿宋_GB2312" w:hAnsi="仿宋" w:eastAsia="仿宋_GB2312"/>
          <w:sz w:val="32"/>
          <w:szCs w:val="32"/>
          <w:u w:val="none"/>
        </w:rPr>
        <w:t xml:space="preserve">（2）.甲方对乙方提交的服务依据采购文件上的技术要求进行验收，乙方需负责安排专门人员向甲方做服务项目总结和汇报，并协助甲方一起检验资料，直到符合技术要求，甲方做最终验收。                                                                   </w:t>
      </w:r>
    </w:p>
    <w:p>
      <w:pPr>
        <w:spacing w:line="520" w:lineRule="exact"/>
        <w:ind w:firstLine="640" w:firstLineChars="200"/>
        <w:jc w:val="left"/>
        <w:rPr>
          <w:rFonts w:hint="eastAsia" w:ascii="仿宋_GB2312" w:hAnsi="仿宋" w:eastAsia="仿宋_GB2312"/>
          <w:sz w:val="32"/>
          <w:szCs w:val="32"/>
          <w:u w:val="none"/>
        </w:rPr>
      </w:pPr>
      <w:r>
        <w:rPr>
          <w:rFonts w:hint="eastAsia" w:ascii="仿宋_GB2312" w:hAnsi="仿宋" w:eastAsia="仿宋_GB2312"/>
          <w:sz w:val="32"/>
          <w:szCs w:val="32"/>
          <w:u w:val="none"/>
          <w:lang w:val="en-US" w:eastAsia="zh-CN"/>
        </w:rPr>
        <w:t>2</w:t>
      </w:r>
      <w:r>
        <w:rPr>
          <w:rFonts w:hint="eastAsia" w:ascii="仿宋_GB2312" w:hAnsi="仿宋" w:eastAsia="仿宋_GB2312"/>
          <w:sz w:val="32"/>
          <w:szCs w:val="32"/>
          <w:u w:val="none"/>
        </w:rPr>
        <w:t>.履约验收验收标准</w:t>
      </w:r>
    </w:p>
    <w:p>
      <w:pPr>
        <w:spacing w:line="520" w:lineRule="exact"/>
        <w:ind w:firstLine="640" w:firstLineChars="200"/>
        <w:jc w:val="left"/>
        <w:rPr>
          <w:rFonts w:hint="eastAsia" w:ascii="仿宋_GB2312" w:hAnsi="仿宋" w:eastAsia="仿宋_GB2312"/>
          <w:sz w:val="32"/>
          <w:szCs w:val="32"/>
          <w:u w:val="none"/>
        </w:rPr>
      </w:pPr>
      <w:r>
        <w:rPr>
          <w:rFonts w:hint="eastAsia" w:ascii="仿宋_GB2312" w:hAnsi="仿宋" w:eastAsia="仿宋_GB2312"/>
          <w:sz w:val="32"/>
          <w:szCs w:val="32"/>
          <w:u w:val="none"/>
        </w:rPr>
        <w:t>（1）验收由采购人负责实施；</w:t>
      </w:r>
    </w:p>
    <w:p>
      <w:pPr>
        <w:spacing w:line="520" w:lineRule="exact"/>
        <w:ind w:firstLine="640" w:firstLineChars="200"/>
        <w:jc w:val="left"/>
        <w:rPr>
          <w:rFonts w:hint="eastAsia" w:ascii="仿宋_GB2312" w:hAnsi="仿宋" w:eastAsia="仿宋_GB2312"/>
          <w:sz w:val="32"/>
          <w:szCs w:val="32"/>
          <w:u w:val="none"/>
        </w:rPr>
      </w:pPr>
      <w:r>
        <w:rPr>
          <w:rFonts w:hint="eastAsia" w:ascii="仿宋_GB2312" w:hAnsi="仿宋" w:eastAsia="仿宋_GB2312"/>
          <w:sz w:val="32"/>
          <w:szCs w:val="32"/>
          <w:u w:val="none"/>
        </w:rPr>
        <w:t>（2）验收依据：</w:t>
      </w:r>
    </w:p>
    <w:p>
      <w:pPr>
        <w:spacing w:line="520" w:lineRule="exact"/>
        <w:ind w:firstLine="640" w:firstLineChars="200"/>
        <w:jc w:val="left"/>
        <w:rPr>
          <w:rFonts w:hint="eastAsia" w:ascii="仿宋_GB2312" w:hAnsi="仿宋" w:eastAsia="仿宋_GB2312"/>
          <w:sz w:val="32"/>
          <w:szCs w:val="32"/>
          <w:u w:val="none"/>
        </w:rPr>
      </w:pPr>
      <w:r>
        <w:rPr>
          <w:rFonts w:hint="eastAsia" w:ascii="仿宋_GB2312" w:hAnsi="仿宋_GB2312" w:eastAsia="仿宋_GB2312" w:cs="仿宋_GB2312"/>
          <w:sz w:val="32"/>
          <w:szCs w:val="32"/>
          <w:u w:val="none"/>
        </w:rPr>
        <w:t>①</w:t>
      </w:r>
      <w:r>
        <w:rPr>
          <w:rFonts w:hint="eastAsia" w:ascii="仿宋_GB2312" w:hAnsi="仿宋" w:eastAsia="仿宋_GB2312"/>
          <w:sz w:val="32"/>
          <w:szCs w:val="32"/>
          <w:u w:val="none"/>
        </w:rPr>
        <w:t>合同、招标文件、投标文件；</w:t>
      </w:r>
    </w:p>
    <w:p>
      <w:pPr>
        <w:spacing w:line="520" w:lineRule="exact"/>
        <w:ind w:firstLine="640" w:firstLineChars="200"/>
        <w:jc w:val="left"/>
        <w:rPr>
          <w:rFonts w:hint="eastAsia" w:ascii="仿宋_GB2312" w:hAnsi="仿宋" w:eastAsia="仿宋_GB2312"/>
          <w:sz w:val="32"/>
          <w:szCs w:val="32"/>
          <w:u w:val="none"/>
        </w:rPr>
      </w:pPr>
      <w:r>
        <w:rPr>
          <w:rFonts w:hint="eastAsia" w:ascii="仿宋_GB2312" w:hAnsi="仿宋_GB2312" w:eastAsia="仿宋_GB2312" w:cs="仿宋_GB2312"/>
          <w:sz w:val="32"/>
          <w:szCs w:val="32"/>
          <w:u w:val="none"/>
        </w:rPr>
        <w:t>②</w:t>
      </w:r>
      <w:r>
        <w:rPr>
          <w:rFonts w:hint="eastAsia" w:ascii="仿宋_GB2312" w:hAnsi="仿宋" w:eastAsia="仿宋_GB2312"/>
          <w:sz w:val="32"/>
          <w:szCs w:val="32"/>
          <w:u w:val="none"/>
        </w:rPr>
        <w:t>供应商提供的技术规格、经采购人认可的合同货物的有效检验文件；</w:t>
      </w:r>
    </w:p>
    <w:p>
      <w:pPr>
        <w:spacing w:line="520" w:lineRule="exact"/>
        <w:ind w:firstLine="640" w:firstLineChars="200"/>
        <w:jc w:val="left"/>
        <w:rPr>
          <w:rFonts w:hint="eastAsia" w:ascii="仿宋_GB2312" w:hAnsi="仿宋" w:eastAsia="仿宋_GB2312"/>
          <w:sz w:val="32"/>
          <w:szCs w:val="32"/>
          <w:u w:val="none"/>
        </w:rPr>
      </w:pPr>
      <w:r>
        <w:rPr>
          <w:rFonts w:hint="eastAsia" w:ascii="仿宋_GB2312" w:hAnsi="仿宋_GB2312" w:eastAsia="仿宋_GB2312" w:cs="仿宋_GB2312"/>
          <w:sz w:val="32"/>
          <w:szCs w:val="32"/>
          <w:u w:val="none"/>
        </w:rPr>
        <w:t>③</w:t>
      </w:r>
      <w:r>
        <w:rPr>
          <w:rFonts w:hint="eastAsia" w:ascii="仿宋_GB2312" w:hAnsi="仿宋" w:eastAsia="仿宋_GB2312"/>
          <w:sz w:val="32"/>
          <w:szCs w:val="32"/>
          <w:u w:val="none"/>
        </w:rPr>
        <w:t>供应商投标文件中提供的经采购人认可的合同货物的验收标准（符合中国有关的国家、地方、行业标准）和检测办法及相应检测手段。</w:t>
      </w:r>
    </w:p>
    <w:p>
      <w:pPr>
        <w:spacing w:line="520" w:lineRule="exact"/>
        <w:ind w:firstLine="640" w:firstLineChars="200"/>
        <w:jc w:val="left"/>
        <w:rPr>
          <w:rFonts w:hint="eastAsia" w:ascii="仿宋_GB2312" w:hAnsi="仿宋" w:eastAsia="仿宋_GB2312"/>
          <w:sz w:val="32"/>
          <w:szCs w:val="32"/>
          <w:u w:val="none"/>
        </w:rPr>
      </w:pPr>
      <w:r>
        <w:rPr>
          <w:rFonts w:hint="eastAsia" w:ascii="仿宋_GB2312" w:hAnsi="仿宋" w:eastAsia="仿宋_GB2312"/>
          <w:sz w:val="32"/>
          <w:szCs w:val="32"/>
          <w:u w:val="none"/>
        </w:rPr>
        <w:t>（3）供应商应派员在所供货物到采购人处时进行到货验收，若发现任何损坏及质量问题，供应商负责妥善处理直至采购人满意，由此产生的费用由供应商承担。</w:t>
      </w:r>
    </w:p>
    <w:p>
      <w:pPr>
        <w:spacing w:line="520" w:lineRule="exact"/>
        <w:ind w:firstLine="640" w:firstLineChars="200"/>
        <w:jc w:val="left"/>
        <w:rPr>
          <w:rFonts w:hint="eastAsia" w:ascii="仿宋_GB2312" w:hAnsi="仿宋" w:eastAsia="仿宋_GB2312"/>
          <w:sz w:val="32"/>
          <w:szCs w:val="32"/>
          <w:u w:val="none"/>
        </w:rPr>
      </w:pPr>
      <w:r>
        <w:rPr>
          <w:rFonts w:hint="eastAsia" w:ascii="仿宋_GB2312" w:hAnsi="仿宋" w:eastAsia="仿宋_GB2312"/>
          <w:sz w:val="32"/>
          <w:szCs w:val="32"/>
          <w:u w:val="none"/>
        </w:rPr>
        <w:t>（4）验收合格的条件：</w:t>
      </w:r>
    </w:p>
    <w:p>
      <w:pPr>
        <w:spacing w:line="520" w:lineRule="exact"/>
        <w:ind w:firstLine="640" w:firstLineChars="200"/>
        <w:jc w:val="left"/>
        <w:rPr>
          <w:rFonts w:hint="eastAsia" w:ascii="仿宋_GB2312" w:hAnsi="仿宋" w:eastAsia="仿宋_GB2312"/>
          <w:sz w:val="32"/>
          <w:szCs w:val="32"/>
          <w:u w:val="none"/>
        </w:rPr>
      </w:pPr>
      <w:r>
        <w:rPr>
          <w:rFonts w:hint="eastAsia" w:ascii="仿宋_GB2312" w:hAnsi="仿宋_GB2312" w:eastAsia="仿宋_GB2312" w:cs="仿宋_GB2312"/>
          <w:sz w:val="32"/>
          <w:szCs w:val="32"/>
          <w:u w:val="none"/>
        </w:rPr>
        <w:t>①</w:t>
      </w:r>
      <w:r>
        <w:rPr>
          <w:rFonts w:hint="eastAsia" w:ascii="仿宋_GB2312" w:hAnsi="仿宋" w:eastAsia="仿宋_GB2312"/>
          <w:sz w:val="32"/>
          <w:szCs w:val="32"/>
          <w:u w:val="none"/>
        </w:rPr>
        <w:t>所供货物符合产品标准和合同的要求；</w:t>
      </w:r>
    </w:p>
    <w:p>
      <w:pPr>
        <w:spacing w:line="520" w:lineRule="exact"/>
        <w:ind w:firstLine="640" w:firstLineChars="200"/>
        <w:jc w:val="left"/>
        <w:rPr>
          <w:rFonts w:hint="eastAsia" w:ascii="仿宋_GB2312" w:hAnsi="仿宋" w:eastAsia="仿宋_GB2312"/>
          <w:sz w:val="32"/>
          <w:szCs w:val="32"/>
          <w:u w:val="none"/>
        </w:rPr>
      </w:pPr>
      <w:r>
        <w:rPr>
          <w:rFonts w:hint="eastAsia" w:ascii="仿宋_GB2312" w:hAnsi="仿宋_GB2312" w:eastAsia="仿宋_GB2312" w:cs="仿宋_GB2312"/>
          <w:sz w:val="32"/>
          <w:szCs w:val="32"/>
          <w:u w:val="none"/>
        </w:rPr>
        <w:t>②</w:t>
      </w:r>
      <w:r>
        <w:rPr>
          <w:rFonts w:hint="eastAsia" w:ascii="仿宋_GB2312" w:hAnsi="仿宋" w:eastAsia="仿宋_GB2312"/>
          <w:sz w:val="32"/>
          <w:szCs w:val="32"/>
          <w:u w:val="none"/>
        </w:rPr>
        <w:t>在进行测试和验收过程中发现的问题已被解决并得到采购人的认可；</w:t>
      </w:r>
    </w:p>
    <w:p>
      <w:pPr>
        <w:spacing w:line="520" w:lineRule="exact"/>
        <w:ind w:firstLine="640" w:firstLineChars="200"/>
        <w:jc w:val="left"/>
        <w:rPr>
          <w:rFonts w:hint="eastAsia" w:ascii="仿宋_GB2312" w:hAnsi="仿宋" w:eastAsia="仿宋_GB2312"/>
          <w:sz w:val="32"/>
          <w:szCs w:val="32"/>
          <w:u w:val="none"/>
        </w:rPr>
      </w:pPr>
      <w:r>
        <w:rPr>
          <w:rFonts w:hint="eastAsia" w:ascii="仿宋_GB2312" w:hAnsi="仿宋_GB2312" w:eastAsia="仿宋_GB2312" w:cs="仿宋_GB2312"/>
          <w:sz w:val="32"/>
          <w:szCs w:val="32"/>
          <w:u w:val="none"/>
        </w:rPr>
        <w:t>③</w:t>
      </w:r>
      <w:r>
        <w:rPr>
          <w:rFonts w:hint="eastAsia" w:ascii="仿宋_GB2312" w:hAnsi="仿宋" w:eastAsia="仿宋_GB2312"/>
          <w:sz w:val="32"/>
          <w:szCs w:val="32"/>
          <w:u w:val="none"/>
        </w:rPr>
        <w:t>合同中规定的所有货物和材料均已交付；</w:t>
      </w:r>
    </w:p>
    <w:p>
      <w:pPr>
        <w:spacing w:line="520" w:lineRule="exact"/>
        <w:ind w:firstLine="640" w:firstLineChars="200"/>
        <w:jc w:val="left"/>
        <w:rPr>
          <w:rFonts w:hint="eastAsia" w:ascii="仿宋_GB2312" w:hAnsi="仿宋" w:eastAsia="仿宋_GB2312"/>
          <w:sz w:val="32"/>
          <w:szCs w:val="32"/>
          <w:u w:val="none"/>
        </w:rPr>
      </w:pPr>
      <w:r>
        <w:rPr>
          <w:rFonts w:hint="eastAsia" w:ascii="仿宋_GB2312" w:hAnsi="仿宋_GB2312" w:eastAsia="仿宋_GB2312" w:cs="仿宋_GB2312"/>
          <w:sz w:val="32"/>
          <w:szCs w:val="32"/>
          <w:u w:val="none"/>
        </w:rPr>
        <w:t>④</w:t>
      </w:r>
      <w:r>
        <w:rPr>
          <w:rFonts w:hint="eastAsia" w:ascii="仿宋_GB2312" w:hAnsi="仿宋" w:eastAsia="仿宋_GB2312"/>
          <w:sz w:val="32"/>
          <w:szCs w:val="32"/>
          <w:u w:val="none"/>
        </w:rPr>
        <w:t>所供货物已通过使用单位组织的验收；</w:t>
      </w:r>
    </w:p>
    <w:p>
      <w:pPr>
        <w:spacing w:line="520" w:lineRule="exact"/>
        <w:ind w:firstLine="640" w:firstLineChars="200"/>
        <w:jc w:val="left"/>
        <w:rPr>
          <w:rFonts w:hint="eastAsia" w:ascii="仿宋_GB2312" w:hAnsi="仿宋" w:eastAsia="仿宋_GB2312"/>
          <w:sz w:val="32"/>
          <w:szCs w:val="32"/>
          <w:u w:val="none"/>
        </w:rPr>
      </w:pPr>
      <w:r>
        <w:rPr>
          <w:rFonts w:hint="eastAsia" w:ascii="仿宋_GB2312" w:hAnsi="仿宋_GB2312" w:eastAsia="仿宋_GB2312" w:cs="仿宋_GB2312"/>
          <w:sz w:val="32"/>
          <w:szCs w:val="32"/>
          <w:u w:val="none"/>
        </w:rPr>
        <w:t>⑤</w:t>
      </w:r>
      <w:r>
        <w:rPr>
          <w:rFonts w:hint="eastAsia" w:ascii="仿宋_GB2312" w:hAnsi="仿宋" w:eastAsia="仿宋_GB2312"/>
          <w:sz w:val="32"/>
          <w:szCs w:val="32"/>
          <w:u w:val="none"/>
        </w:rPr>
        <w:t>所有相关的技术文件及资料均已提交并得到接受。</w:t>
      </w:r>
    </w:p>
    <w:p>
      <w:pPr>
        <w:spacing w:line="520" w:lineRule="exact"/>
        <w:ind w:firstLine="640" w:firstLineChars="200"/>
        <w:jc w:val="left"/>
        <w:rPr>
          <w:rFonts w:hint="eastAsia" w:ascii="仿宋_GB2312" w:hAnsi="仿宋" w:eastAsia="仿宋_GB2312"/>
          <w:sz w:val="32"/>
          <w:szCs w:val="32"/>
          <w:u w:val="none"/>
        </w:rPr>
      </w:pPr>
      <w:r>
        <w:rPr>
          <w:rFonts w:hint="eastAsia" w:ascii="仿宋_GB2312" w:hAnsi="仿宋" w:eastAsia="仿宋_GB2312"/>
          <w:sz w:val="32"/>
          <w:szCs w:val="32"/>
          <w:u w:val="none"/>
        </w:rPr>
        <w:t>（5）验收要求</w:t>
      </w:r>
    </w:p>
    <w:p>
      <w:pPr>
        <w:spacing w:line="520" w:lineRule="exact"/>
        <w:ind w:firstLine="640" w:firstLineChars="200"/>
        <w:jc w:val="left"/>
        <w:rPr>
          <w:rFonts w:hint="eastAsia" w:ascii="仿宋_GB2312" w:hAnsi="仿宋" w:eastAsia="仿宋_GB2312"/>
          <w:sz w:val="32"/>
          <w:szCs w:val="32"/>
          <w:u w:val="none"/>
        </w:rPr>
      </w:pPr>
      <w:r>
        <w:rPr>
          <w:rFonts w:hint="eastAsia" w:ascii="仿宋_GB2312" w:hAnsi="仿宋" w:eastAsia="仿宋_GB2312"/>
          <w:sz w:val="32"/>
          <w:szCs w:val="32"/>
          <w:u w:val="none"/>
        </w:rPr>
        <w:t>供应商需提供完善的质量保障方案，确保项目能够按照计划保质保量的完成。</w:t>
      </w:r>
    </w:p>
    <w:p>
      <w:pPr>
        <w:spacing w:line="520" w:lineRule="exact"/>
        <w:ind w:firstLine="640" w:firstLineChars="200"/>
        <w:jc w:val="left"/>
        <w:rPr>
          <w:rFonts w:hint="eastAsia" w:ascii="仿宋_GB2312" w:hAnsi="仿宋" w:eastAsia="仿宋_GB2312"/>
          <w:sz w:val="32"/>
          <w:szCs w:val="32"/>
          <w:u w:val="none"/>
        </w:rPr>
      </w:pPr>
      <w:r>
        <w:rPr>
          <w:rFonts w:hint="eastAsia" w:ascii="仿宋_GB2312" w:hAnsi="仿宋" w:eastAsia="仿宋_GB2312"/>
          <w:sz w:val="32"/>
          <w:szCs w:val="32"/>
          <w:u w:val="none"/>
        </w:rPr>
        <w:t>中标人根据采购人需求在规定工期内建设完成后，可向采购人书面提出验收申请，采购人根据技术要求5个工作日内组织验收，并出具验收报告。若中标人实施质量达不到采购人要求，应当在15日内完成整改到位。</w:t>
      </w:r>
    </w:p>
    <w:p>
      <w:pPr>
        <w:ind w:firstLine="960" w:firstLineChars="300"/>
        <w:rPr>
          <w:rFonts w:hint="eastAsia" w:ascii="华文中宋" w:hAnsi="华文中宋" w:eastAsia="华文中宋"/>
          <w:b/>
          <w:kern w:val="0"/>
          <w:sz w:val="36"/>
          <w:szCs w:val="36"/>
        </w:rPr>
      </w:pPr>
      <w:r>
        <w:rPr>
          <w:rFonts w:hint="eastAsia" w:ascii="仿宋_GB2312" w:hAnsi="仿宋" w:eastAsia="仿宋_GB2312"/>
          <w:sz w:val="32"/>
          <w:szCs w:val="32"/>
          <w:u w:val="none"/>
        </w:rPr>
        <w:t xml:space="preserve">项目通过验收后，中标人负责组织向建设方移交试运行报告、需求说明书、概要设计和详细说明书等全部文档。        </w:t>
      </w:r>
      <w:r>
        <w:rPr>
          <w:rFonts w:hint="eastAsia" w:ascii="华文中宋" w:hAnsi="华文中宋" w:eastAsia="华文中宋"/>
          <w:b/>
          <w:kern w:val="0"/>
          <w:sz w:val="36"/>
          <w:szCs w:val="36"/>
        </w:rPr>
        <w:br w:type="page"/>
      </w:r>
    </w:p>
    <w:p>
      <w:pPr>
        <w:spacing w:line="0" w:lineRule="atLeast"/>
        <w:jc w:val="center"/>
        <w:rPr>
          <w:rFonts w:hint="eastAsia" w:ascii="华文中宋" w:hAnsi="华文中宋" w:eastAsia="华文中宋"/>
          <w:b/>
          <w:kern w:val="0"/>
          <w:sz w:val="36"/>
          <w:szCs w:val="36"/>
        </w:rPr>
      </w:pPr>
      <w:r>
        <w:rPr>
          <w:rFonts w:hint="eastAsia" w:ascii="华文中宋" w:hAnsi="华文中宋" w:eastAsia="华文中宋"/>
          <w:b/>
          <w:kern w:val="0"/>
          <w:sz w:val="36"/>
          <w:szCs w:val="36"/>
        </w:rPr>
        <w:t>第五章  合同主要条款</w:t>
      </w:r>
    </w:p>
    <w:p>
      <w:pPr>
        <w:ind w:right="-23"/>
        <w:rPr>
          <w:rFonts w:hint="eastAsia" w:eastAsia="仿宋_GB2312"/>
          <w:snapToGrid w:val="0"/>
          <w:sz w:val="30"/>
        </w:rPr>
      </w:pPr>
    </w:p>
    <w:p>
      <w:pPr>
        <w:ind w:right="-23" w:firstLine="300" w:firstLineChars="100"/>
        <w:rPr>
          <w:rFonts w:hint="eastAsia" w:eastAsia="仿宋_GB2312"/>
          <w:snapToGrid w:val="0"/>
          <w:sz w:val="30"/>
        </w:rPr>
      </w:pPr>
    </w:p>
    <w:p>
      <w:pPr>
        <w:spacing w:line="560" w:lineRule="exact"/>
        <w:jc w:val="center"/>
        <w:rPr>
          <w:rFonts w:ascii="华文仿宋" w:hAnsi="华文仿宋" w:eastAsia="华文仿宋"/>
          <w:b/>
          <w:sz w:val="36"/>
          <w:szCs w:val="36"/>
        </w:rPr>
      </w:pPr>
      <w:r>
        <w:rPr>
          <w:rFonts w:hint="eastAsia" w:ascii="华文仿宋" w:hAnsi="华文仿宋" w:eastAsia="华文仿宋"/>
          <w:b/>
          <w:sz w:val="36"/>
          <w:szCs w:val="36"/>
        </w:rPr>
        <w:t xml:space="preserve">皖南医学院      </w:t>
      </w:r>
      <w:r>
        <w:rPr>
          <w:rFonts w:ascii="华文仿宋" w:hAnsi="华文仿宋" w:eastAsia="华文仿宋"/>
          <w:b/>
          <w:sz w:val="36"/>
          <w:szCs w:val="36"/>
        </w:rPr>
        <w:t xml:space="preserve">          </w:t>
      </w:r>
      <w:r>
        <w:rPr>
          <w:rFonts w:hint="eastAsia" w:ascii="华文仿宋" w:hAnsi="华文仿宋" w:eastAsia="华文仿宋"/>
          <w:b/>
          <w:sz w:val="36"/>
          <w:szCs w:val="36"/>
        </w:rPr>
        <w:t xml:space="preserve"> 项目</w:t>
      </w:r>
    </w:p>
    <w:p>
      <w:pPr>
        <w:spacing w:line="560" w:lineRule="exact"/>
        <w:jc w:val="center"/>
        <w:rPr>
          <w:rFonts w:ascii="华文仿宋" w:hAnsi="华文仿宋" w:eastAsia="华文仿宋"/>
          <w:b/>
          <w:sz w:val="36"/>
          <w:szCs w:val="36"/>
        </w:rPr>
      </w:pPr>
      <w:r>
        <w:rPr>
          <w:rFonts w:hint="eastAsia" w:ascii="华文仿宋" w:hAnsi="华文仿宋" w:eastAsia="华文仿宋"/>
          <w:b/>
          <w:sz w:val="36"/>
          <w:szCs w:val="36"/>
        </w:rPr>
        <w:t>采购合同（服务类）</w:t>
      </w:r>
    </w:p>
    <w:p>
      <w:pPr>
        <w:spacing w:line="560" w:lineRule="exact"/>
        <w:ind w:right="472"/>
        <w:jc w:val="center"/>
        <w:rPr>
          <w:rFonts w:hint="eastAsia" w:ascii="宋体" w:hAnsi="宋体" w:eastAsia="宋体"/>
          <w:b/>
          <w:sz w:val="24"/>
          <w:szCs w:val="24"/>
        </w:rPr>
      </w:pPr>
      <w:r>
        <w:rPr>
          <w:rFonts w:hint="eastAsia" w:ascii="宋体" w:hAnsi="宋体" w:eastAsia="宋体"/>
          <w:b/>
          <w:sz w:val="24"/>
          <w:szCs w:val="24"/>
        </w:rPr>
        <w:t xml:space="preserve">                                                  合同编号</w:t>
      </w:r>
      <w:r>
        <w:rPr>
          <w:rFonts w:ascii="宋体" w:hAnsi="宋体" w:eastAsia="宋体"/>
          <w:b/>
          <w:sz w:val="24"/>
          <w:szCs w:val="24"/>
        </w:rPr>
        <w:t>：</w:t>
      </w:r>
    </w:p>
    <w:p>
      <w:pPr>
        <w:spacing w:line="560" w:lineRule="exact"/>
        <w:rPr>
          <w:rFonts w:ascii="宋体" w:hAnsi="宋体" w:eastAsia="宋体"/>
          <w:sz w:val="24"/>
          <w:szCs w:val="24"/>
        </w:rPr>
      </w:pPr>
      <w:r>
        <w:rPr>
          <w:rFonts w:hint="eastAsia" w:ascii="宋体" w:hAnsi="宋体" w:eastAsia="宋体"/>
          <w:b/>
          <w:sz w:val="24"/>
          <w:szCs w:val="24"/>
        </w:rPr>
        <w:t>甲方（买方）</w:t>
      </w:r>
      <w:r>
        <w:rPr>
          <w:rFonts w:hint="eastAsia" w:ascii="宋体" w:hAnsi="宋体" w:eastAsia="宋体"/>
          <w:sz w:val="24"/>
          <w:szCs w:val="24"/>
        </w:rPr>
        <w:t>：</w:t>
      </w:r>
      <w:r>
        <w:rPr>
          <w:rFonts w:ascii="宋体" w:hAnsi="宋体" w:eastAsia="宋体"/>
          <w:sz w:val="24"/>
          <w:szCs w:val="24"/>
        </w:rPr>
        <w:t xml:space="preserve">  </w:t>
      </w:r>
      <w:r>
        <w:rPr>
          <w:rFonts w:hint="eastAsia" w:ascii="宋体" w:hAnsi="宋体" w:eastAsia="宋体"/>
          <w:color w:val="AEAAAA"/>
          <w:sz w:val="24"/>
          <w:szCs w:val="24"/>
        </w:rPr>
        <w:t>皖南医学院（二级部门/单位）</w:t>
      </w:r>
      <w:r>
        <w:rPr>
          <w:rFonts w:ascii="宋体" w:hAnsi="宋体" w:eastAsia="宋体"/>
          <w:sz w:val="24"/>
          <w:szCs w:val="24"/>
        </w:rPr>
        <w:t xml:space="preserve">   </w:t>
      </w:r>
    </w:p>
    <w:p>
      <w:pPr>
        <w:spacing w:line="560" w:lineRule="exact"/>
        <w:rPr>
          <w:rFonts w:ascii="宋体" w:hAnsi="宋体" w:eastAsia="宋体"/>
          <w:sz w:val="24"/>
          <w:szCs w:val="24"/>
          <w:u w:val="single"/>
        </w:rPr>
      </w:pPr>
      <w:r>
        <w:rPr>
          <w:rFonts w:hint="eastAsia" w:ascii="宋体" w:hAnsi="宋体" w:eastAsia="宋体"/>
          <w:b/>
          <w:sz w:val="24"/>
          <w:szCs w:val="24"/>
        </w:rPr>
        <w:t>乙方（卖方</w:t>
      </w:r>
      <w:r>
        <w:rPr>
          <w:rFonts w:hint="eastAsia" w:ascii="宋体" w:hAnsi="宋体" w:eastAsia="宋体"/>
          <w:sz w:val="24"/>
          <w:szCs w:val="24"/>
        </w:rPr>
        <w:t>）：</w:t>
      </w:r>
      <w:r>
        <w:rPr>
          <w:rFonts w:ascii="宋体" w:hAnsi="宋体" w:eastAsia="宋体"/>
          <w:sz w:val="24"/>
          <w:szCs w:val="24"/>
          <w:u w:val="single"/>
        </w:rPr>
        <w:t xml:space="preserve">                           </w:t>
      </w:r>
    </w:p>
    <w:p>
      <w:pPr>
        <w:spacing w:line="560" w:lineRule="exact"/>
        <w:rPr>
          <w:rFonts w:ascii="宋体" w:hAnsi="宋体" w:eastAsia="宋体"/>
          <w:sz w:val="24"/>
          <w:szCs w:val="24"/>
        </w:rPr>
      </w:pPr>
      <w:r>
        <w:rPr>
          <w:rFonts w:hint="eastAsia" w:ascii="宋体" w:hAnsi="宋体" w:eastAsia="宋体"/>
          <w:b/>
          <w:sz w:val="24"/>
          <w:szCs w:val="24"/>
        </w:rPr>
        <w:t>签订地点</w:t>
      </w:r>
      <w:r>
        <w:rPr>
          <w:rFonts w:hint="eastAsia" w:ascii="宋体" w:hAnsi="宋体" w:eastAsia="宋体"/>
          <w:sz w:val="24"/>
          <w:szCs w:val="24"/>
        </w:rPr>
        <w:t>：</w:t>
      </w:r>
      <w:r>
        <w:rPr>
          <w:rFonts w:ascii="宋体" w:hAnsi="宋体" w:eastAsia="宋体"/>
          <w:sz w:val="24"/>
          <w:szCs w:val="24"/>
          <w:u w:val="single"/>
        </w:rPr>
        <w:t xml:space="preserve">  </w:t>
      </w:r>
      <w:r>
        <w:rPr>
          <w:rFonts w:hint="eastAsia" w:ascii="宋体" w:hAnsi="宋体" w:eastAsia="宋体"/>
          <w:sz w:val="24"/>
          <w:szCs w:val="24"/>
          <w:u w:val="single"/>
        </w:rPr>
        <w:t xml:space="preserve">皖南医学院 </w:t>
      </w:r>
      <w:r>
        <w:rPr>
          <w:rFonts w:ascii="宋体" w:hAnsi="宋体" w:eastAsia="宋体"/>
          <w:sz w:val="24"/>
          <w:szCs w:val="24"/>
          <w:u w:val="single"/>
        </w:rPr>
        <w:t xml:space="preserve">    </w:t>
      </w:r>
      <w:r>
        <w:rPr>
          <w:rFonts w:hint="eastAsia" w:ascii="宋体" w:hAnsi="宋体" w:eastAsia="宋体"/>
          <w:sz w:val="24"/>
          <w:szCs w:val="24"/>
          <w:u w:val="single"/>
        </w:rPr>
        <w:t xml:space="preserve">  校区</w:t>
      </w:r>
      <w:r>
        <w:rPr>
          <w:rFonts w:ascii="宋体" w:hAnsi="宋体" w:eastAsia="宋体"/>
          <w:sz w:val="24"/>
          <w:szCs w:val="24"/>
          <w:u w:val="single"/>
        </w:rPr>
        <w:t xml:space="preserve"> </w:t>
      </w:r>
    </w:p>
    <w:p>
      <w:pPr>
        <w:spacing w:line="560" w:lineRule="exact"/>
        <w:rPr>
          <w:rFonts w:ascii="宋体" w:hAnsi="宋体" w:eastAsia="宋体"/>
          <w:sz w:val="24"/>
          <w:szCs w:val="24"/>
        </w:rPr>
      </w:pPr>
      <w:r>
        <w:rPr>
          <w:rFonts w:hint="eastAsia" w:ascii="宋体" w:hAnsi="宋体" w:eastAsia="宋体"/>
          <w:b/>
          <w:sz w:val="24"/>
          <w:szCs w:val="24"/>
        </w:rPr>
        <w:t>签订时间</w:t>
      </w:r>
      <w:r>
        <w:rPr>
          <w:rFonts w:hint="eastAsia" w:ascii="宋体" w:hAnsi="宋体" w:eastAsia="宋体"/>
          <w:sz w:val="24"/>
          <w:szCs w:val="24"/>
        </w:rPr>
        <w:t>：</w:t>
      </w:r>
      <w:r>
        <w:rPr>
          <w:rFonts w:ascii="宋体" w:hAnsi="宋体" w:eastAsia="宋体"/>
          <w:sz w:val="24"/>
          <w:szCs w:val="24"/>
          <w:u w:val="single"/>
        </w:rPr>
        <w:t xml:space="preserve">        </w:t>
      </w:r>
      <w:r>
        <w:rPr>
          <w:rFonts w:hint="eastAsia" w:ascii="宋体" w:hAnsi="宋体" w:eastAsia="宋体"/>
          <w:sz w:val="24"/>
          <w:szCs w:val="24"/>
        </w:rPr>
        <w:t>年</w:t>
      </w:r>
      <w:r>
        <w:rPr>
          <w:rFonts w:ascii="宋体" w:hAnsi="宋体" w:eastAsia="宋体"/>
          <w:sz w:val="24"/>
          <w:szCs w:val="24"/>
          <w:u w:val="single"/>
        </w:rPr>
        <w:t xml:space="preserve">    </w:t>
      </w:r>
      <w:r>
        <w:rPr>
          <w:rFonts w:hint="eastAsia" w:ascii="宋体" w:hAnsi="宋体" w:eastAsia="宋体"/>
          <w:sz w:val="24"/>
          <w:szCs w:val="24"/>
        </w:rPr>
        <w:t>月</w:t>
      </w:r>
      <w:r>
        <w:rPr>
          <w:rFonts w:ascii="宋体" w:hAnsi="宋体" w:eastAsia="宋体"/>
          <w:sz w:val="24"/>
          <w:szCs w:val="24"/>
          <w:u w:val="single"/>
        </w:rPr>
        <w:t xml:space="preserve">    </w:t>
      </w:r>
      <w:r>
        <w:rPr>
          <w:rFonts w:hint="eastAsia" w:ascii="宋体" w:hAnsi="宋体" w:eastAsia="宋体"/>
          <w:sz w:val="24"/>
          <w:szCs w:val="24"/>
        </w:rPr>
        <w:t>日</w:t>
      </w:r>
    </w:p>
    <w:p>
      <w:pPr>
        <w:spacing w:line="560" w:lineRule="exact"/>
        <w:ind w:firstLine="480" w:firstLineChars="200"/>
        <w:rPr>
          <w:rFonts w:ascii="宋体" w:hAnsi="宋体" w:eastAsia="宋体"/>
          <w:sz w:val="24"/>
          <w:szCs w:val="24"/>
        </w:rPr>
      </w:pPr>
      <w:r>
        <w:rPr>
          <w:rFonts w:hint="eastAsia" w:ascii="宋体" w:hAnsi="宋体" w:eastAsia="宋体"/>
          <w:kern w:val="0"/>
          <w:sz w:val="24"/>
          <w:szCs w:val="24"/>
        </w:rPr>
        <w:t>根据《中华人民共和国民法典》</w:t>
      </w:r>
      <w:r>
        <w:rPr>
          <w:rFonts w:hint="eastAsia" w:ascii="宋体" w:hAnsi="宋体" w:eastAsia="宋体"/>
          <w:sz w:val="24"/>
          <w:szCs w:val="24"/>
        </w:rPr>
        <w:t>，经双方友好协商一致，共同签订本合同。</w:t>
      </w:r>
    </w:p>
    <w:p>
      <w:pPr>
        <w:numPr>
          <w:ilvl w:val="0"/>
          <w:numId w:val="4"/>
        </w:numPr>
        <w:spacing w:line="560" w:lineRule="exact"/>
        <w:rPr>
          <w:rFonts w:ascii="宋体" w:hAnsi="宋体" w:eastAsia="宋体"/>
          <w:b/>
          <w:sz w:val="24"/>
          <w:szCs w:val="24"/>
        </w:rPr>
      </w:pPr>
      <w:r>
        <w:rPr>
          <w:rFonts w:hint="eastAsia" w:ascii="宋体" w:hAnsi="宋体" w:eastAsia="宋体"/>
          <w:b/>
          <w:sz w:val="24"/>
          <w:szCs w:val="24"/>
        </w:rPr>
        <w:t>服务名称及内容</w:t>
      </w:r>
    </w:p>
    <w:p>
      <w:pPr>
        <w:spacing w:line="560" w:lineRule="exact"/>
        <w:rPr>
          <w:rFonts w:ascii="宋体" w:hAnsi="宋体" w:eastAsia="宋体"/>
          <w:b/>
          <w:i/>
          <w:sz w:val="24"/>
          <w:szCs w:val="24"/>
          <w:u w:val="single"/>
        </w:rPr>
      </w:pPr>
      <w:r>
        <w:rPr>
          <w:rFonts w:hint="eastAsia" w:ascii="宋体" w:hAnsi="宋体" w:eastAsia="宋体"/>
          <w:b/>
          <w:i/>
          <w:sz w:val="24"/>
          <w:szCs w:val="24"/>
          <w:u w:val="single"/>
        </w:rPr>
        <w:t>（根据项目情况自拟）</w:t>
      </w:r>
    </w:p>
    <w:p>
      <w:pPr>
        <w:numPr>
          <w:ilvl w:val="0"/>
          <w:numId w:val="4"/>
        </w:numPr>
        <w:spacing w:line="560" w:lineRule="exact"/>
        <w:rPr>
          <w:rFonts w:ascii="宋体" w:hAnsi="宋体" w:eastAsia="宋体"/>
          <w:b/>
          <w:sz w:val="24"/>
          <w:szCs w:val="24"/>
        </w:rPr>
      </w:pPr>
      <w:r>
        <w:rPr>
          <w:rFonts w:hint="eastAsia" w:ascii="宋体" w:hAnsi="宋体" w:eastAsia="宋体"/>
          <w:b/>
          <w:sz w:val="24"/>
          <w:szCs w:val="24"/>
        </w:rPr>
        <w:t>服务期限</w:t>
      </w:r>
    </w:p>
    <w:p>
      <w:pPr>
        <w:spacing w:line="560" w:lineRule="exact"/>
        <w:ind w:firstLine="480" w:firstLineChars="200"/>
        <w:rPr>
          <w:rFonts w:hint="eastAsia" w:ascii="宋体" w:hAnsi="宋体" w:eastAsia="宋体"/>
          <w:sz w:val="24"/>
          <w:szCs w:val="24"/>
        </w:rPr>
      </w:pPr>
      <w:r>
        <w:rPr>
          <w:rFonts w:hint="eastAsia" w:ascii="宋体" w:hAnsi="宋体" w:eastAsia="宋体"/>
          <w:sz w:val="24"/>
          <w:szCs w:val="24"/>
        </w:rPr>
        <w:t>乙方应于合同签订之日起</w:t>
      </w:r>
      <w:r>
        <w:rPr>
          <w:rFonts w:ascii="宋体" w:hAnsi="宋体" w:eastAsia="宋体"/>
          <w:sz w:val="24"/>
          <w:szCs w:val="24"/>
          <w:u w:val="single"/>
        </w:rPr>
        <w:t xml:space="preserve">      </w:t>
      </w:r>
      <w:r>
        <w:rPr>
          <w:rFonts w:hint="eastAsia" w:ascii="宋体" w:hAnsi="宋体" w:eastAsia="宋体"/>
          <w:sz w:val="24"/>
          <w:szCs w:val="24"/>
        </w:rPr>
        <w:t>日内完成合同约定的服务内容，由甲方进行验收。</w:t>
      </w:r>
    </w:p>
    <w:p>
      <w:pPr>
        <w:spacing w:line="560" w:lineRule="exact"/>
        <w:rPr>
          <w:rFonts w:ascii="宋体" w:hAnsi="宋体" w:eastAsia="宋体"/>
          <w:b/>
          <w:sz w:val="24"/>
          <w:szCs w:val="24"/>
          <w:u w:val="single"/>
        </w:rPr>
      </w:pPr>
      <w:r>
        <w:rPr>
          <w:rFonts w:hint="eastAsia" w:ascii="宋体" w:hAnsi="宋体" w:eastAsia="宋体"/>
          <w:sz w:val="24"/>
          <w:szCs w:val="24"/>
        </w:rPr>
        <w:t>验收方式为：</w:t>
      </w:r>
      <w:r>
        <w:rPr>
          <w:rFonts w:hint="eastAsia" w:ascii="宋体" w:hAnsi="宋体" w:eastAsia="宋体"/>
          <w:b/>
          <w:i/>
          <w:sz w:val="24"/>
          <w:szCs w:val="24"/>
          <w:u w:val="single"/>
        </w:rPr>
        <w:t>（根据项目情况自拟）</w:t>
      </w:r>
    </w:p>
    <w:p>
      <w:pPr>
        <w:numPr>
          <w:ilvl w:val="0"/>
          <w:numId w:val="4"/>
        </w:numPr>
        <w:spacing w:line="560" w:lineRule="exact"/>
        <w:rPr>
          <w:rFonts w:ascii="宋体" w:hAnsi="宋体" w:eastAsia="宋体"/>
          <w:b/>
          <w:sz w:val="24"/>
          <w:szCs w:val="24"/>
        </w:rPr>
      </w:pPr>
      <w:r>
        <w:rPr>
          <w:rFonts w:hint="eastAsia" w:ascii="宋体" w:hAnsi="宋体" w:eastAsia="宋体"/>
          <w:b/>
          <w:sz w:val="24"/>
          <w:szCs w:val="24"/>
        </w:rPr>
        <w:t>合同金额：</w:t>
      </w:r>
      <w:r>
        <w:rPr>
          <w:rFonts w:hint="eastAsia" w:ascii="宋体" w:hAnsi="宋体" w:eastAsia="宋体"/>
          <w:sz w:val="24"/>
          <w:szCs w:val="24"/>
        </w:rPr>
        <w:t>¥</w:t>
      </w:r>
      <w:r>
        <w:rPr>
          <w:rFonts w:ascii="宋体" w:hAnsi="宋体" w:eastAsia="宋体"/>
          <w:sz w:val="24"/>
          <w:szCs w:val="24"/>
          <w:u w:val="single"/>
        </w:rPr>
        <w:t xml:space="preserve">             </w:t>
      </w:r>
      <w:r>
        <w:rPr>
          <w:rFonts w:hint="eastAsia" w:ascii="宋体" w:hAnsi="宋体" w:eastAsia="宋体"/>
          <w:sz w:val="24"/>
          <w:szCs w:val="24"/>
        </w:rPr>
        <w:t>元（人民币大写：</w:t>
      </w:r>
      <w:r>
        <w:rPr>
          <w:rFonts w:ascii="宋体" w:hAnsi="宋体" w:eastAsia="宋体"/>
          <w:sz w:val="24"/>
          <w:szCs w:val="24"/>
          <w:u w:val="single"/>
        </w:rPr>
        <w:t xml:space="preserve">                       </w:t>
      </w:r>
      <w:r>
        <w:rPr>
          <w:rFonts w:hint="eastAsia" w:ascii="宋体" w:hAnsi="宋体" w:eastAsia="宋体"/>
          <w:sz w:val="24"/>
          <w:szCs w:val="24"/>
        </w:rPr>
        <w:t>）</w:t>
      </w:r>
    </w:p>
    <w:p>
      <w:pPr>
        <w:numPr>
          <w:ilvl w:val="0"/>
          <w:numId w:val="4"/>
        </w:numPr>
        <w:spacing w:line="560" w:lineRule="exact"/>
        <w:rPr>
          <w:rFonts w:ascii="宋体" w:hAnsi="宋体" w:eastAsia="宋体"/>
          <w:b/>
          <w:sz w:val="24"/>
          <w:szCs w:val="24"/>
        </w:rPr>
      </w:pPr>
      <w:r>
        <w:rPr>
          <w:rFonts w:hint="eastAsia" w:ascii="宋体" w:hAnsi="宋体" w:eastAsia="宋体"/>
          <w:b/>
          <w:sz w:val="24"/>
          <w:szCs w:val="24"/>
        </w:rPr>
        <w:t>合同款支付</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甲方按以下第</w:t>
      </w:r>
      <w:r>
        <w:rPr>
          <w:rFonts w:ascii="宋体" w:hAnsi="宋体" w:eastAsia="宋体"/>
          <w:sz w:val="24"/>
          <w:szCs w:val="24"/>
          <w:u w:val="single"/>
        </w:rPr>
        <w:t xml:space="preserve"> </w:t>
      </w:r>
      <w:r>
        <w:rPr>
          <w:rFonts w:hint="eastAsia" w:ascii="宋体" w:hAnsi="宋体" w:eastAsia="宋体"/>
          <w:sz w:val="24"/>
          <w:szCs w:val="24"/>
        </w:rPr>
        <w:t>②</w:t>
      </w:r>
      <w:r>
        <w:rPr>
          <w:rFonts w:ascii="宋体" w:hAnsi="宋体" w:eastAsia="宋体"/>
          <w:sz w:val="24"/>
          <w:szCs w:val="24"/>
          <w:u w:val="single"/>
        </w:rPr>
        <w:t xml:space="preserve">  </w:t>
      </w:r>
      <w:r>
        <w:rPr>
          <w:rFonts w:hint="eastAsia" w:ascii="宋体" w:hAnsi="宋体" w:eastAsia="宋体"/>
          <w:sz w:val="24"/>
          <w:szCs w:val="24"/>
        </w:rPr>
        <w:t>种方式支付合同款（选择其一）：</w:t>
      </w:r>
    </w:p>
    <w:p>
      <w:pPr>
        <w:spacing w:line="560" w:lineRule="exact"/>
        <w:ind w:left="465"/>
        <w:rPr>
          <w:rFonts w:ascii="宋体" w:hAnsi="宋体" w:eastAsia="宋体"/>
          <w:sz w:val="24"/>
          <w:szCs w:val="24"/>
        </w:rPr>
      </w:pPr>
      <w:r>
        <w:rPr>
          <w:rFonts w:hint="eastAsia" w:ascii="宋体" w:hAnsi="宋体" w:eastAsia="宋体"/>
          <w:sz w:val="24"/>
          <w:szCs w:val="24"/>
        </w:rPr>
        <w:t>①</w:t>
      </w:r>
      <w:r>
        <w:rPr>
          <w:rFonts w:ascii="宋体" w:hAnsi="宋体" w:eastAsia="宋体"/>
          <w:sz w:val="24"/>
          <w:szCs w:val="24"/>
        </w:rPr>
        <w:t xml:space="preserve"> </w:t>
      </w:r>
      <w:r>
        <w:rPr>
          <w:rFonts w:hint="eastAsia" w:ascii="宋体" w:hAnsi="宋体" w:eastAsia="宋体"/>
          <w:sz w:val="24"/>
          <w:szCs w:val="24"/>
        </w:rPr>
        <w:t>乙方履约完成并经甲方验收合格后，甲方于</w:t>
      </w:r>
      <w:r>
        <w:rPr>
          <w:rFonts w:ascii="宋体" w:hAnsi="宋体" w:eastAsia="宋体"/>
          <w:sz w:val="24"/>
          <w:szCs w:val="24"/>
          <w:u w:val="single"/>
        </w:rPr>
        <w:t xml:space="preserve">      </w:t>
      </w:r>
      <w:r>
        <w:rPr>
          <w:rFonts w:hint="eastAsia" w:ascii="宋体" w:hAnsi="宋体" w:eastAsia="宋体"/>
          <w:sz w:val="24"/>
          <w:szCs w:val="24"/>
        </w:rPr>
        <w:t>日内一次性付清合同款。</w:t>
      </w:r>
    </w:p>
    <w:p>
      <w:pPr>
        <w:spacing w:line="560" w:lineRule="exact"/>
        <w:ind w:left="465"/>
        <w:rPr>
          <w:rFonts w:ascii="宋体" w:hAnsi="宋体" w:eastAsia="宋体"/>
          <w:sz w:val="24"/>
          <w:szCs w:val="24"/>
        </w:rPr>
      </w:pPr>
      <w:r>
        <w:rPr>
          <w:rFonts w:hint="eastAsia" w:ascii="宋体" w:hAnsi="宋体" w:eastAsia="宋体"/>
          <w:sz w:val="24"/>
          <w:szCs w:val="24"/>
        </w:rPr>
        <w:t>②</w:t>
      </w:r>
      <w:r>
        <w:rPr>
          <w:rFonts w:ascii="宋体" w:hAnsi="宋体" w:eastAsia="宋体"/>
          <w:sz w:val="24"/>
          <w:szCs w:val="24"/>
        </w:rPr>
        <w:t xml:space="preserve"> </w:t>
      </w:r>
      <w:r>
        <w:rPr>
          <w:rFonts w:hint="eastAsia" w:ascii="宋体" w:hAnsi="宋体" w:eastAsia="宋体"/>
          <w:sz w:val="24"/>
          <w:szCs w:val="24"/>
        </w:rPr>
        <w:t>签订合同后甲方预付合同款的</w:t>
      </w:r>
      <w:r>
        <w:rPr>
          <w:rFonts w:ascii="宋体" w:hAnsi="宋体" w:eastAsia="宋体"/>
          <w:sz w:val="24"/>
          <w:szCs w:val="24"/>
          <w:u w:val="single"/>
        </w:rPr>
        <w:t xml:space="preserve">    </w:t>
      </w:r>
      <w:r>
        <w:rPr>
          <w:rFonts w:hint="eastAsia" w:ascii="宋体" w:hAnsi="宋体"/>
          <w:sz w:val="24"/>
          <w:szCs w:val="24"/>
          <w:u w:val="single"/>
          <w:lang w:val="en-US" w:eastAsia="zh-CN"/>
        </w:rPr>
        <w:t xml:space="preserve"> </w:t>
      </w:r>
      <w:r>
        <w:rPr>
          <w:rFonts w:ascii="宋体" w:hAnsi="宋体" w:eastAsia="宋体"/>
          <w:sz w:val="24"/>
          <w:szCs w:val="24"/>
          <w:u w:val="single"/>
        </w:rPr>
        <w:t xml:space="preserve"> </w:t>
      </w:r>
      <w:r>
        <w:rPr>
          <w:rFonts w:ascii="宋体" w:hAnsi="宋体" w:eastAsia="宋体"/>
          <w:sz w:val="24"/>
          <w:szCs w:val="24"/>
        </w:rPr>
        <w:t xml:space="preserve">%  </w:t>
      </w:r>
      <w:r>
        <w:rPr>
          <w:rFonts w:hint="eastAsia" w:ascii="宋体" w:hAnsi="宋体" w:eastAsia="宋体"/>
          <w:sz w:val="24"/>
          <w:szCs w:val="24"/>
        </w:rPr>
        <w:t>（即</w:t>
      </w:r>
      <w:r>
        <w:rPr>
          <w:rFonts w:ascii="宋体" w:hAnsi="宋体" w:eastAsia="宋体"/>
          <w:sz w:val="24"/>
          <w:szCs w:val="24"/>
          <w:u w:val="single"/>
        </w:rPr>
        <w:t xml:space="preserve">        </w:t>
      </w:r>
      <w:r>
        <w:rPr>
          <w:rFonts w:hint="eastAsia" w:ascii="宋体" w:hAnsi="宋体" w:eastAsia="宋体"/>
          <w:sz w:val="24"/>
          <w:szCs w:val="24"/>
        </w:rPr>
        <w:t>元），乙方履约完成经甲方验收合格后，甲方于</w:t>
      </w:r>
      <w:r>
        <w:rPr>
          <w:rFonts w:ascii="宋体" w:hAnsi="宋体" w:eastAsia="宋体"/>
          <w:sz w:val="24"/>
          <w:szCs w:val="24"/>
          <w:u w:val="single"/>
        </w:rPr>
        <w:t xml:space="preserve">      </w:t>
      </w:r>
      <w:r>
        <w:rPr>
          <w:rFonts w:hint="eastAsia" w:ascii="宋体" w:hAnsi="宋体" w:eastAsia="宋体"/>
          <w:sz w:val="24"/>
          <w:szCs w:val="24"/>
        </w:rPr>
        <w:t>日内一次性付清余款。</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乙方须按国家有关财税规定为甲方开具正规发票。</w:t>
      </w:r>
    </w:p>
    <w:p>
      <w:pPr>
        <w:numPr>
          <w:ilvl w:val="0"/>
          <w:numId w:val="4"/>
        </w:numPr>
        <w:spacing w:line="560" w:lineRule="exact"/>
        <w:rPr>
          <w:rFonts w:ascii="宋体" w:hAnsi="宋体" w:eastAsia="宋体"/>
          <w:b/>
          <w:sz w:val="24"/>
          <w:szCs w:val="24"/>
        </w:rPr>
      </w:pPr>
      <w:r>
        <w:rPr>
          <w:rFonts w:hint="eastAsia" w:ascii="宋体" w:hAnsi="宋体" w:eastAsia="宋体"/>
          <w:b/>
          <w:sz w:val="24"/>
          <w:szCs w:val="24"/>
        </w:rPr>
        <w:t>售后服务</w:t>
      </w:r>
    </w:p>
    <w:p>
      <w:pPr>
        <w:numPr>
          <w:ilvl w:val="0"/>
          <w:numId w:val="5"/>
        </w:numPr>
        <w:spacing w:line="560" w:lineRule="exact"/>
        <w:rPr>
          <w:rFonts w:ascii="宋体" w:hAnsi="宋体" w:eastAsia="宋体"/>
          <w:sz w:val="24"/>
          <w:szCs w:val="24"/>
        </w:rPr>
      </w:pPr>
      <w:r>
        <w:rPr>
          <w:rFonts w:ascii="宋体" w:hAnsi="宋体" w:eastAsia="宋体"/>
          <w:sz w:val="24"/>
          <w:szCs w:val="24"/>
          <w:u w:val="single"/>
        </w:rPr>
        <w:t xml:space="preserve">        </w:t>
      </w:r>
      <w:r>
        <w:rPr>
          <w:rFonts w:hint="eastAsia" w:ascii="宋体" w:hAnsi="宋体" w:eastAsia="宋体"/>
          <w:sz w:val="24"/>
          <w:szCs w:val="24"/>
        </w:rPr>
        <w:t>年免费维保（自验收合格之日起）</w:t>
      </w:r>
      <w:r>
        <w:rPr>
          <w:rFonts w:hint="eastAsia" w:ascii="宋体" w:hAnsi="宋体" w:eastAsia="宋体"/>
          <w:b/>
          <w:i/>
          <w:sz w:val="24"/>
          <w:szCs w:val="24"/>
        </w:rPr>
        <w:t>（此条可根据项目性质编辑修改）</w:t>
      </w:r>
      <w:r>
        <w:rPr>
          <w:rFonts w:hint="eastAsia" w:ascii="宋体" w:hAnsi="宋体" w:eastAsia="宋体"/>
          <w:sz w:val="24"/>
          <w:szCs w:val="24"/>
        </w:rPr>
        <w:t>。</w:t>
      </w:r>
    </w:p>
    <w:p>
      <w:pPr>
        <w:numPr>
          <w:ilvl w:val="0"/>
          <w:numId w:val="5"/>
        </w:numPr>
        <w:spacing w:line="560" w:lineRule="exact"/>
        <w:rPr>
          <w:rFonts w:ascii="宋体" w:hAnsi="宋体" w:eastAsia="宋体"/>
          <w:sz w:val="24"/>
          <w:szCs w:val="24"/>
        </w:rPr>
      </w:pPr>
      <w:r>
        <w:rPr>
          <w:rFonts w:hint="eastAsia" w:ascii="宋体" w:hAnsi="宋体" w:eastAsia="宋体"/>
          <w:sz w:val="24"/>
          <w:szCs w:val="24"/>
        </w:rPr>
        <w:t>免费质保期结束后，甲方如有后续服务需求，乙方仍应承担维护职责，甲方需支付相应的服务费用（此条可根据项目性质编辑修改）。</w:t>
      </w:r>
    </w:p>
    <w:p>
      <w:pPr>
        <w:numPr>
          <w:ilvl w:val="0"/>
          <w:numId w:val="4"/>
        </w:numPr>
        <w:spacing w:line="560" w:lineRule="exact"/>
        <w:rPr>
          <w:rFonts w:ascii="宋体" w:hAnsi="宋体" w:eastAsia="宋体"/>
          <w:b/>
          <w:sz w:val="24"/>
          <w:szCs w:val="24"/>
        </w:rPr>
      </w:pPr>
      <w:r>
        <w:rPr>
          <w:rFonts w:hint="eastAsia" w:ascii="宋体" w:hAnsi="宋体" w:eastAsia="宋体"/>
          <w:b/>
          <w:sz w:val="24"/>
          <w:szCs w:val="24"/>
        </w:rPr>
        <w:t>违约责任</w:t>
      </w:r>
    </w:p>
    <w:p>
      <w:pPr>
        <w:numPr>
          <w:ilvl w:val="0"/>
          <w:numId w:val="6"/>
        </w:numPr>
        <w:spacing w:line="560" w:lineRule="exact"/>
        <w:rPr>
          <w:rFonts w:ascii="宋体" w:hAnsi="宋体" w:eastAsia="宋体"/>
          <w:sz w:val="24"/>
          <w:szCs w:val="24"/>
        </w:rPr>
      </w:pPr>
      <w:r>
        <w:rPr>
          <w:rFonts w:hint="eastAsia" w:ascii="宋体" w:hAnsi="宋体" w:eastAsia="宋体"/>
          <w:sz w:val="24"/>
          <w:szCs w:val="24"/>
        </w:rPr>
        <w:t>甲乙双方不履行合同约定的义务即为违约。</w:t>
      </w:r>
    </w:p>
    <w:p>
      <w:pPr>
        <w:numPr>
          <w:ilvl w:val="0"/>
          <w:numId w:val="6"/>
        </w:numPr>
        <w:spacing w:line="560" w:lineRule="exact"/>
        <w:rPr>
          <w:rFonts w:ascii="宋体" w:hAnsi="宋体" w:eastAsia="宋体"/>
          <w:sz w:val="24"/>
          <w:szCs w:val="24"/>
        </w:rPr>
      </w:pPr>
      <w:r>
        <w:rPr>
          <w:rFonts w:hint="eastAsia" w:ascii="宋体" w:hAnsi="宋体" w:eastAsia="宋体"/>
          <w:sz w:val="24"/>
          <w:szCs w:val="24"/>
        </w:rPr>
        <w:t>如乙方不能按期完成合同规定服务内容，除经甲方认可的不可抗拒原因外（以书面通知为准），每延长一天，甲方按合同总金额的</w:t>
      </w:r>
      <w:r>
        <w:rPr>
          <w:rFonts w:hint="eastAsia" w:ascii="宋体" w:hAnsi="宋体" w:eastAsia="宋体"/>
          <w:sz w:val="24"/>
          <w:szCs w:val="24"/>
          <w:lang w:val="en-US" w:eastAsia="zh-CN"/>
        </w:rPr>
        <w:t>5</w:t>
      </w:r>
      <w:r>
        <w:rPr>
          <w:rFonts w:hint="eastAsia" w:ascii="宋体" w:hAnsi="宋体" w:eastAsia="宋体"/>
          <w:sz w:val="24"/>
          <w:szCs w:val="24"/>
        </w:rPr>
        <w:t>‰按日收取延迟交货违约金，违约金最高不超过合同总金额</w:t>
      </w:r>
      <w:r>
        <w:rPr>
          <w:rFonts w:hint="eastAsia" w:ascii="宋体" w:hAnsi="宋体" w:eastAsia="宋体"/>
          <w:sz w:val="24"/>
          <w:szCs w:val="24"/>
          <w:lang w:val="en-US" w:eastAsia="zh-CN"/>
        </w:rPr>
        <w:t>2.5</w:t>
      </w:r>
      <w:r>
        <w:rPr>
          <w:rFonts w:ascii="宋体" w:hAnsi="宋体" w:eastAsia="宋体"/>
          <w:sz w:val="24"/>
          <w:szCs w:val="24"/>
        </w:rPr>
        <w:t>%</w:t>
      </w:r>
      <w:r>
        <w:rPr>
          <w:rFonts w:hint="eastAsia" w:ascii="宋体" w:hAnsi="宋体" w:eastAsia="宋体"/>
          <w:sz w:val="24"/>
          <w:szCs w:val="24"/>
        </w:rPr>
        <w:t>。</w:t>
      </w:r>
    </w:p>
    <w:p>
      <w:pPr>
        <w:numPr>
          <w:ilvl w:val="0"/>
          <w:numId w:val="6"/>
        </w:numPr>
        <w:spacing w:line="560" w:lineRule="exact"/>
        <w:rPr>
          <w:rFonts w:ascii="宋体" w:hAnsi="宋体" w:eastAsia="宋体"/>
          <w:sz w:val="24"/>
          <w:szCs w:val="24"/>
        </w:rPr>
      </w:pPr>
      <w:r>
        <w:rPr>
          <w:rFonts w:hint="eastAsia" w:ascii="宋体" w:hAnsi="宋体" w:eastAsia="宋体"/>
          <w:sz w:val="24"/>
          <w:szCs w:val="24"/>
        </w:rPr>
        <w:t>由于乙方原因不能按照约定时间完成履约的，在甲方书面通知</w:t>
      </w:r>
      <w:r>
        <w:rPr>
          <w:rFonts w:ascii="宋体" w:hAnsi="宋体" w:eastAsia="宋体"/>
          <w:sz w:val="24"/>
          <w:szCs w:val="24"/>
        </w:rPr>
        <w:t>7</w:t>
      </w:r>
      <w:r>
        <w:rPr>
          <w:rFonts w:hint="eastAsia" w:ascii="宋体" w:hAnsi="宋体" w:eastAsia="宋体"/>
          <w:sz w:val="24"/>
          <w:szCs w:val="24"/>
        </w:rPr>
        <w:t>日内乙方仍未履行或采取补救措施的，甲方有权终止合同，乙方须按合同总金额的</w:t>
      </w:r>
      <w:r>
        <w:rPr>
          <w:rFonts w:ascii="宋体" w:hAnsi="宋体" w:eastAsia="宋体"/>
          <w:sz w:val="24"/>
          <w:szCs w:val="24"/>
        </w:rPr>
        <w:t>30%</w:t>
      </w:r>
      <w:r>
        <w:rPr>
          <w:rFonts w:hint="eastAsia" w:ascii="宋体" w:hAnsi="宋体" w:eastAsia="宋体"/>
          <w:sz w:val="24"/>
          <w:szCs w:val="24"/>
        </w:rPr>
        <w:t>向甲方支付违约赔偿金，并全额退还甲方已付给乙方的货款。</w:t>
      </w:r>
    </w:p>
    <w:p>
      <w:pPr>
        <w:numPr>
          <w:ilvl w:val="0"/>
          <w:numId w:val="6"/>
        </w:numPr>
        <w:spacing w:line="560" w:lineRule="exact"/>
        <w:rPr>
          <w:rFonts w:ascii="宋体" w:hAnsi="宋体" w:eastAsia="宋体"/>
          <w:sz w:val="24"/>
          <w:szCs w:val="24"/>
        </w:rPr>
      </w:pPr>
      <w:r>
        <w:rPr>
          <w:rFonts w:hint="eastAsia" w:ascii="宋体" w:hAnsi="宋体" w:eastAsia="宋体"/>
          <w:sz w:val="24"/>
          <w:szCs w:val="24"/>
        </w:rPr>
        <w:t>乙方提供的服务不符合合同约定的，乙方必须无条件在甲方规定的时间内整改，如乙方不能在规定时间内完成整改，或整改后仍达不到合同交付标准的，乙方须退回全部合同款，并向甲方支付合同总金额的</w:t>
      </w:r>
      <w:r>
        <w:rPr>
          <w:rFonts w:ascii="宋体" w:hAnsi="宋体" w:eastAsia="宋体"/>
          <w:sz w:val="24"/>
          <w:szCs w:val="24"/>
        </w:rPr>
        <w:t>20%</w:t>
      </w:r>
      <w:r>
        <w:rPr>
          <w:rFonts w:hint="eastAsia" w:ascii="宋体" w:hAnsi="宋体" w:eastAsia="宋体"/>
          <w:sz w:val="24"/>
          <w:szCs w:val="24"/>
        </w:rPr>
        <w:t>的赔偿金。</w:t>
      </w:r>
    </w:p>
    <w:p>
      <w:pPr>
        <w:numPr>
          <w:ilvl w:val="0"/>
          <w:numId w:val="6"/>
        </w:numPr>
        <w:spacing w:line="560" w:lineRule="exact"/>
        <w:rPr>
          <w:rFonts w:ascii="宋体" w:hAnsi="宋体" w:eastAsia="宋体"/>
          <w:sz w:val="24"/>
          <w:szCs w:val="24"/>
        </w:rPr>
      </w:pPr>
      <w:r>
        <w:rPr>
          <w:rFonts w:hint="eastAsia" w:ascii="宋体" w:hAnsi="宋体" w:eastAsia="宋体"/>
          <w:sz w:val="24"/>
          <w:szCs w:val="24"/>
        </w:rPr>
        <w:t>甲方无正当理由逾期付款，每延长一天，按未付金额的</w:t>
      </w:r>
      <w:r>
        <w:rPr>
          <w:rFonts w:hint="eastAsia" w:ascii="宋体" w:hAnsi="宋体" w:eastAsia="宋体"/>
          <w:sz w:val="24"/>
          <w:szCs w:val="24"/>
          <w:lang w:val="en-US" w:eastAsia="zh-CN"/>
        </w:rPr>
        <w:t>5</w:t>
      </w:r>
      <w:r>
        <w:rPr>
          <w:rFonts w:hint="eastAsia" w:ascii="宋体" w:hAnsi="宋体" w:eastAsia="宋体"/>
          <w:sz w:val="24"/>
          <w:szCs w:val="24"/>
        </w:rPr>
        <w:t>‰作为违约金，违约金最多不超过合同总金额的</w:t>
      </w:r>
      <w:r>
        <w:rPr>
          <w:rFonts w:hint="eastAsia" w:ascii="宋体" w:hAnsi="宋体" w:eastAsia="宋体"/>
          <w:sz w:val="24"/>
          <w:szCs w:val="24"/>
          <w:lang w:val="en-US" w:eastAsia="zh-CN"/>
        </w:rPr>
        <w:t>2.</w:t>
      </w:r>
      <w:r>
        <w:rPr>
          <w:rFonts w:ascii="宋体" w:hAnsi="宋体" w:eastAsia="宋体"/>
          <w:sz w:val="24"/>
          <w:szCs w:val="24"/>
        </w:rPr>
        <w:t>5%</w:t>
      </w:r>
      <w:r>
        <w:rPr>
          <w:rFonts w:hint="eastAsia" w:ascii="宋体" w:hAnsi="宋体" w:eastAsia="宋体"/>
          <w:sz w:val="24"/>
          <w:szCs w:val="24"/>
        </w:rPr>
        <w:t>。</w:t>
      </w:r>
    </w:p>
    <w:p>
      <w:pPr>
        <w:numPr>
          <w:ilvl w:val="0"/>
          <w:numId w:val="6"/>
        </w:numPr>
        <w:spacing w:line="560" w:lineRule="exact"/>
        <w:rPr>
          <w:rFonts w:ascii="宋体" w:hAnsi="宋体" w:eastAsia="宋体"/>
          <w:sz w:val="24"/>
          <w:szCs w:val="24"/>
        </w:rPr>
      </w:pPr>
      <w:r>
        <w:rPr>
          <w:rFonts w:hint="eastAsia" w:ascii="宋体" w:hAnsi="宋体" w:eastAsia="宋体"/>
          <w:sz w:val="24"/>
          <w:szCs w:val="24"/>
        </w:rPr>
        <w:t>甲方在以下情况下可向乙方发出书面通知，终止部分或全部合同：</w:t>
      </w:r>
    </w:p>
    <w:p>
      <w:pPr>
        <w:spacing w:line="560" w:lineRule="exact"/>
        <w:ind w:left="160" w:leftChars="57" w:firstLine="240" w:firstLineChars="100"/>
        <w:rPr>
          <w:rFonts w:ascii="宋体" w:hAnsi="宋体" w:eastAsia="宋体"/>
          <w:sz w:val="24"/>
          <w:szCs w:val="24"/>
        </w:rPr>
      </w:pPr>
      <w:r>
        <w:rPr>
          <w:rFonts w:hint="eastAsia" w:ascii="宋体" w:hAnsi="宋体" w:eastAsia="宋体"/>
          <w:sz w:val="24"/>
          <w:szCs w:val="24"/>
        </w:rPr>
        <w:t>①乙方未能在合同规定的期限或甲方同意延长的限期内提供合同约定的服务内容。</w:t>
      </w:r>
    </w:p>
    <w:p>
      <w:pPr>
        <w:spacing w:line="560" w:lineRule="exact"/>
        <w:ind w:left="160" w:leftChars="57" w:firstLine="240" w:firstLineChars="100"/>
        <w:rPr>
          <w:rFonts w:ascii="宋体" w:hAnsi="宋体" w:eastAsia="宋体"/>
          <w:sz w:val="24"/>
          <w:szCs w:val="24"/>
        </w:rPr>
      </w:pPr>
      <w:r>
        <w:rPr>
          <w:rFonts w:hint="eastAsia" w:ascii="宋体" w:hAnsi="宋体" w:eastAsia="宋体"/>
          <w:sz w:val="24"/>
          <w:szCs w:val="24"/>
        </w:rPr>
        <w:t>②如果乙方未能履行合同规定的其他义务，乙方在收到甲方发出的违约通知后</w:t>
      </w:r>
      <w:r>
        <w:rPr>
          <w:rFonts w:ascii="宋体" w:hAnsi="宋体" w:eastAsia="宋体"/>
          <w:sz w:val="24"/>
          <w:szCs w:val="24"/>
        </w:rPr>
        <w:t>7</w:t>
      </w:r>
      <w:r>
        <w:rPr>
          <w:rFonts w:hint="eastAsia" w:ascii="宋体" w:hAnsi="宋体" w:eastAsia="宋体"/>
          <w:sz w:val="24"/>
          <w:szCs w:val="24"/>
        </w:rPr>
        <w:t>天内，或经甲方书面认可延长的时间内未能纠正其过失。</w:t>
      </w:r>
    </w:p>
    <w:p>
      <w:pPr>
        <w:numPr>
          <w:ilvl w:val="0"/>
          <w:numId w:val="4"/>
        </w:numPr>
        <w:spacing w:line="560" w:lineRule="exact"/>
        <w:rPr>
          <w:rFonts w:ascii="宋体" w:hAnsi="宋体" w:eastAsia="宋体"/>
          <w:b/>
          <w:sz w:val="24"/>
          <w:szCs w:val="24"/>
        </w:rPr>
      </w:pPr>
      <w:r>
        <w:rPr>
          <w:rFonts w:hint="eastAsia" w:ascii="宋体" w:hAnsi="宋体" w:eastAsia="宋体"/>
          <w:b/>
          <w:sz w:val="24"/>
          <w:szCs w:val="24"/>
        </w:rPr>
        <w:t>不可抗力</w:t>
      </w:r>
    </w:p>
    <w:p>
      <w:pPr>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双方在订立合同时无法控制、不可预见的事件如：战争、水灾、地震，异常恶劣天气以及双方同意的事件为不可抗力事件。当因不可抗力事件发生致使履约延迟时，履行合同的期限可相应延长，但乙方应继续履行合同。</w:t>
      </w:r>
    </w:p>
    <w:p>
      <w:pPr>
        <w:numPr>
          <w:ilvl w:val="0"/>
          <w:numId w:val="4"/>
        </w:numPr>
        <w:spacing w:line="560" w:lineRule="exact"/>
        <w:rPr>
          <w:rFonts w:ascii="宋体" w:hAnsi="宋体" w:eastAsia="宋体"/>
          <w:b/>
          <w:sz w:val="24"/>
          <w:szCs w:val="24"/>
        </w:rPr>
      </w:pPr>
      <w:r>
        <w:rPr>
          <w:rFonts w:hint="eastAsia" w:ascii="宋体" w:hAnsi="宋体" w:eastAsia="宋体"/>
          <w:b/>
          <w:sz w:val="24"/>
          <w:szCs w:val="24"/>
        </w:rPr>
        <w:t>争议处理</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本合同发生争议，由双方协商解决，协商不成时按以下第</w:t>
      </w:r>
      <w:r>
        <w:rPr>
          <w:rFonts w:ascii="宋体" w:hAnsi="宋体" w:eastAsia="宋体"/>
          <w:sz w:val="24"/>
          <w:szCs w:val="24"/>
          <w:u w:val="single"/>
        </w:rPr>
        <w:t xml:space="preserve">     </w:t>
      </w:r>
      <w:r>
        <w:rPr>
          <w:rFonts w:hint="eastAsia" w:ascii="宋体" w:hAnsi="宋体" w:eastAsia="宋体"/>
          <w:sz w:val="24"/>
          <w:szCs w:val="24"/>
        </w:rPr>
        <w:t>种方式处理（选择其一）：</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①</w:t>
      </w:r>
      <w:r>
        <w:rPr>
          <w:rFonts w:ascii="宋体" w:hAnsi="宋体" w:eastAsia="宋体"/>
          <w:sz w:val="24"/>
          <w:szCs w:val="24"/>
        </w:rPr>
        <w:t xml:space="preserve"> </w:t>
      </w:r>
      <w:r>
        <w:rPr>
          <w:rFonts w:hint="eastAsia" w:ascii="宋体" w:hAnsi="宋体" w:eastAsia="宋体"/>
          <w:sz w:val="24"/>
          <w:szCs w:val="24"/>
        </w:rPr>
        <w:t>由甲方所在地仲裁机构申请仲裁。</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②</w:t>
      </w:r>
      <w:r>
        <w:rPr>
          <w:rFonts w:ascii="宋体" w:hAnsi="宋体" w:eastAsia="宋体"/>
          <w:sz w:val="24"/>
          <w:szCs w:val="24"/>
        </w:rPr>
        <w:t xml:space="preserve"> </w:t>
      </w:r>
      <w:r>
        <w:rPr>
          <w:rFonts w:hint="eastAsia" w:ascii="宋体" w:hAnsi="宋体" w:eastAsia="宋体"/>
          <w:sz w:val="24"/>
          <w:szCs w:val="24"/>
        </w:rPr>
        <w:t>向甲方所在地人民法院起诉。</w:t>
      </w:r>
    </w:p>
    <w:p>
      <w:pPr>
        <w:spacing w:line="560" w:lineRule="exact"/>
        <w:rPr>
          <w:rFonts w:ascii="宋体" w:hAnsi="宋体" w:eastAsia="宋体"/>
          <w:sz w:val="24"/>
          <w:szCs w:val="24"/>
          <w:u w:val="single"/>
        </w:rPr>
      </w:pPr>
      <w:r>
        <w:rPr>
          <w:rFonts w:hint="eastAsia" w:ascii="宋体" w:hAnsi="宋体" w:eastAsia="宋体"/>
          <w:b/>
          <w:sz w:val="24"/>
          <w:szCs w:val="24"/>
        </w:rPr>
        <w:t>九、本合同一式伍份，具有同等法律效力，甲乙双方各执壹份，财务处壹份，国资处备案贰份。本合同双方签字盖章后生效。合同未尽事宜，双方可另行签订补充协议，补充协议是合同的组成部分。</w:t>
      </w:r>
      <w:r>
        <w:rPr>
          <w:rFonts w:hint="eastAsia" w:ascii="宋体" w:hAnsi="宋体" w:eastAsia="宋体"/>
          <w:sz w:val="24"/>
          <w:szCs w:val="24"/>
        </w:rPr>
        <w:t>甲方：</w:t>
      </w:r>
      <w:r>
        <w:rPr>
          <w:rFonts w:hint="eastAsia" w:ascii="宋体" w:hAnsi="宋体" w:eastAsia="宋体"/>
          <w:color w:val="AEAAAA"/>
          <w:w w:val="80"/>
          <w:sz w:val="24"/>
          <w:szCs w:val="24"/>
          <w:u w:val="single"/>
        </w:rPr>
        <w:t>皖南医学院（二级部门/单位）</w:t>
      </w:r>
      <w:r>
        <w:rPr>
          <w:rFonts w:hint="eastAsia" w:ascii="宋体" w:hAnsi="宋体" w:eastAsia="宋体"/>
          <w:w w:val="80"/>
          <w:sz w:val="24"/>
          <w:szCs w:val="24"/>
          <w:u w:val="single"/>
        </w:rPr>
        <w:t>（经济合同章）</w:t>
      </w:r>
      <w:r>
        <w:rPr>
          <w:rFonts w:ascii="宋体" w:hAnsi="宋体" w:eastAsia="宋体"/>
          <w:sz w:val="24"/>
          <w:szCs w:val="24"/>
        </w:rPr>
        <w:t xml:space="preserve">   </w:t>
      </w:r>
      <w:r>
        <w:rPr>
          <w:rFonts w:hint="eastAsia" w:ascii="宋体" w:hAnsi="宋体" w:eastAsia="宋体"/>
          <w:sz w:val="24"/>
          <w:szCs w:val="24"/>
        </w:rPr>
        <w:t>乙方：</w:t>
      </w:r>
      <w:r>
        <w:rPr>
          <w:rFonts w:ascii="宋体" w:hAnsi="宋体" w:eastAsia="宋体"/>
          <w:sz w:val="24"/>
          <w:szCs w:val="24"/>
          <w:u w:val="single"/>
        </w:rPr>
        <w:t xml:space="preserve">                </w:t>
      </w:r>
      <w:r>
        <w:rPr>
          <w:rFonts w:hint="eastAsia" w:ascii="宋体" w:hAnsi="宋体" w:eastAsia="宋体"/>
          <w:sz w:val="24"/>
          <w:szCs w:val="24"/>
          <w:u w:val="single"/>
        </w:rPr>
        <w:t>（盖章）</w:t>
      </w:r>
      <w:r>
        <w:rPr>
          <w:rFonts w:ascii="宋体" w:hAnsi="宋体" w:eastAsia="宋体"/>
          <w:sz w:val="24"/>
          <w:szCs w:val="24"/>
          <w:u w:val="single"/>
        </w:rPr>
        <w:t xml:space="preserve"> </w:t>
      </w:r>
    </w:p>
    <w:p>
      <w:pPr>
        <w:spacing w:line="560" w:lineRule="exact"/>
        <w:rPr>
          <w:rFonts w:ascii="宋体" w:hAnsi="宋体" w:eastAsia="宋体"/>
          <w:sz w:val="24"/>
          <w:szCs w:val="24"/>
          <w:u w:val="single"/>
        </w:rPr>
      </w:pPr>
      <w:r>
        <w:rPr>
          <w:rFonts w:hint="eastAsia" w:ascii="宋体" w:hAnsi="宋体" w:eastAsia="宋体"/>
          <w:sz w:val="24"/>
          <w:szCs w:val="24"/>
        </w:rPr>
        <w:t>地址：</w:t>
      </w:r>
      <w:r>
        <w:rPr>
          <w:rFonts w:ascii="宋体" w:hAnsi="宋体" w:eastAsia="宋体"/>
          <w:sz w:val="24"/>
          <w:szCs w:val="24"/>
          <w:u w:val="single"/>
        </w:rPr>
        <w:t>芜湖市弋江区</w:t>
      </w:r>
      <w:r>
        <w:rPr>
          <w:rFonts w:hint="eastAsia" w:ascii="宋体" w:hAnsi="宋体" w:eastAsia="宋体"/>
          <w:sz w:val="24"/>
          <w:szCs w:val="24"/>
          <w:u w:val="single"/>
        </w:rPr>
        <w:t>文昌</w:t>
      </w:r>
      <w:r>
        <w:rPr>
          <w:rFonts w:ascii="宋体" w:hAnsi="宋体" w:eastAsia="宋体"/>
          <w:sz w:val="24"/>
          <w:szCs w:val="24"/>
          <w:u w:val="single"/>
        </w:rPr>
        <w:t>西路</w:t>
      </w:r>
      <w:r>
        <w:rPr>
          <w:rFonts w:hint="eastAsia" w:ascii="宋体" w:hAnsi="宋体" w:eastAsia="宋体"/>
          <w:sz w:val="24"/>
          <w:szCs w:val="24"/>
          <w:u w:val="single"/>
        </w:rPr>
        <w:t>22号</w:t>
      </w:r>
      <w:r>
        <w:rPr>
          <w:rFonts w:ascii="宋体" w:hAnsi="宋体" w:eastAsia="宋体"/>
          <w:sz w:val="24"/>
          <w:szCs w:val="24"/>
          <w:u w:val="single"/>
        </w:rPr>
        <w:t xml:space="preserve">  </w:t>
      </w:r>
      <w:r>
        <w:rPr>
          <w:rFonts w:ascii="宋体" w:hAnsi="宋体" w:eastAsia="宋体"/>
          <w:sz w:val="24"/>
          <w:szCs w:val="24"/>
        </w:rPr>
        <w:t xml:space="preserve">        </w:t>
      </w:r>
      <w:r>
        <w:rPr>
          <w:rFonts w:hint="eastAsia" w:ascii="宋体" w:hAnsi="宋体" w:eastAsia="宋体"/>
          <w:sz w:val="24"/>
          <w:szCs w:val="24"/>
        </w:rPr>
        <w:t>地址：</w:t>
      </w:r>
      <w:r>
        <w:rPr>
          <w:rFonts w:ascii="宋体" w:hAnsi="宋体" w:eastAsia="宋体"/>
          <w:sz w:val="24"/>
          <w:szCs w:val="24"/>
          <w:u w:val="single"/>
        </w:rPr>
        <w:t xml:space="preserve">                        </w:t>
      </w:r>
    </w:p>
    <w:p>
      <w:pPr>
        <w:spacing w:line="560" w:lineRule="exact"/>
        <w:rPr>
          <w:rFonts w:ascii="宋体" w:hAnsi="宋体" w:eastAsia="宋体"/>
          <w:sz w:val="24"/>
          <w:szCs w:val="24"/>
        </w:rPr>
      </w:pPr>
      <w:r>
        <w:rPr>
          <w:rFonts w:hint="eastAsia" w:ascii="宋体" w:hAnsi="宋体" w:eastAsia="宋体"/>
          <w:sz w:val="24"/>
          <w:szCs w:val="24"/>
        </w:rPr>
        <w:t>法定代表人或委托代理人：</w:t>
      </w:r>
      <w:r>
        <w:rPr>
          <w:rFonts w:ascii="宋体" w:hAnsi="宋体" w:eastAsia="宋体"/>
          <w:sz w:val="24"/>
          <w:szCs w:val="24"/>
        </w:rPr>
        <w:t xml:space="preserve">                 </w:t>
      </w:r>
      <w:r>
        <w:rPr>
          <w:rFonts w:hint="eastAsia" w:ascii="宋体" w:hAnsi="宋体" w:eastAsia="宋体"/>
          <w:sz w:val="24"/>
          <w:szCs w:val="24"/>
        </w:rPr>
        <w:t>法定代表人或委托代理人：</w:t>
      </w:r>
    </w:p>
    <w:p>
      <w:pPr>
        <w:spacing w:line="560" w:lineRule="exact"/>
        <w:rPr>
          <w:rFonts w:hint="eastAsia" w:ascii="宋体" w:hAnsi="宋体" w:eastAsia="宋体"/>
          <w:sz w:val="24"/>
          <w:szCs w:val="24"/>
        </w:rPr>
      </w:pPr>
      <w:r>
        <w:rPr>
          <w:rFonts w:hint="eastAsia" w:ascii="宋体" w:hAnsi="宋体" w:eastAsia="宋体"/>
          <w:sz w:val="24"/>
          <w:szCs w:val="24"/>
        </w:rPr>
        <w:t>联系</w:t>
      </w:r>
      <w:r>
        <w:rPr>
          <w:rFonts w:ascii="宋体" w:hAnsi="宋体" w:eastAsia="宋体"/>
          <w:sz w:val="24"/>
          <w:szCs w:val="24"/>
        </w:rPr>
        <w:t>电话：</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联系</w:t>
      </w:r>
      <w:r>
        <w:rPr>
          <w:rFonts w:ascii="宋体" w:hAnsi="宋体" w:eastAsia="宋体"/>
          <w:sz w:val="24"/>
          <w:szCs w:val="24"/>
        </w:rPr>
        <w:t>电话：</w:t>
      </w:r>
      <w:r>
        <w:rPr>
          <w:rFonts w:hint="eastAsia" w:ascii="宋体" w:hAnsi="宋体" w:eastAsia="宋体"/>
          <w:sz w:val="24"/>
          <w:szCs w:val="24"/>
        </w:rPr>
        <w:t xml:space="preserve">   </w:t>
      </w:r>
    </w:p>
    <w:p>
      <w:pPr>
        <w:spacing w:line="560" w:lineRule="exact"/>
        <w:rPr>
          <w:rFonts w:ascii="宋体" w:hAnsi="宋体" w:eastAsia="宋体"/>
          <w:sz w:val="24"/>
          <w:szCs w:val="24"/>
        </w:rPr>
      </w:pPr>
      <w:r>
        <w:rPr>
          <w:rFonts w:hint="eastAsia" w:ascii="宋体" w:hAnsi="宋体" w:eastAsia="宋体"/>
          <w:sz w:val="24"/>
          <w:szCs w:val="24"/>
        </w:rPr>
        <w:t>账号：</w:t>
      </w:r>
      <w:r>
        <w:rPr>
          <w:rFonts w:ascii="宋体" w:hAnsi="宋体" w:eastAsia="宋体"/>
          <w:sz w:val="24"/>
          <w:szCs w:val="24"/>
        </w:rPr>
        <w:t xml:space="preserve">                              </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账号：</w:t>
      </w:r>
    </w:p>
    <w:p>
      <w:pPr>
        <w:spacing w:line="560" w:lineRule="exact"/>
        <w:rPr>
          <w:rFonts w:ascii="宋体" w:hAnsi="宋体" w:eastAsia="宋体"/>
          <w:sz w:val="24"/>
          <w:szCs w:val="24"/>
        </w:rPr>
      </w:pPr>
      <w:r>
        <w:rPr>
          <w:rFonts w:hint="eastAsia" w:ascii="宋体" w:hAnsi="宋体" w:eastAsia="宋体"/>
          <w:sz w:val="24"/>
          <w:szCs w:val="24"/>
        </w:rPr>
        <w:t xml:space="preserve">开户行： </w:t>
      </w:r>
      <w:r>
        <w:rPr>
          <w:rFonts w:ascii="宋体" w:hAnsi="宋体" w:eastAsia="宋体"/>
          <w:sz w:val="24"/>
          <w:szCs w:val="24"/>
        </w:rPr>
        <w:t xml:space="preserve">                                </w:t>
      </w:r>
      <w:r>
        <w:rPr>
          <w:rFonts w:hint="eastAsia" w:ascii="宋体" w:hAnsi="宋体" w:eastAsia="宋体"/>
          <w:sz w:val="24"/>
          <w:szCs w:val="24"/>
        </w:rPr>
        <w:t>开户行：</w:t>
      </w:r>
      <w:r>
        <w:rPr>
          <w:rFonts w:ascii="宋体" w:hAnsi="宋体" w:eastAsia="宋体"/>
          <w:sz w:val="24"/>
          <w:szCs w:val="24"/>
        </w:rPr>
        <w:tab/>
      </w:r>
    </w:p>
    <w:p>
      <w:pPr>
        <w:spacing w:line="560" w:lineRule="exact"/>
        <w:rPr>
          <w:rFonts w:hint="eastAsia" w:ascii="宋体" w:hAnsi="宋体" w:eastAsia="宋体"/>
          <w:sz w:val="24"/>
          <w:szCs w:val="24"/>
        </w:rPr>
      </w:pPr>
      <w:r>
        <w:rPr>
          <w:rFonts w:hint="eastAsia" w:ascii="宋体" w:hAnsi="宋体" w:eastAsia="宋体"/>
          <w:sz w:val="24"/>
          <w:szCs w:val="24"/>
        </w:rPr>
        <w:t>税号：</w:t>
      </w:r>
      <w:r>
        <w:rPr>
          <w:rFonts w:ascii="宋体" w:hAnsi="宋体" w:eastAsia="宋体"/>
          <w:sz w:val="24"/>
          <w:szCs w:val="24"/>
        </w:rPr>
        <w:t xml:space="preserve">                                   </w:t>
      </w:r>
      <w:r>
        <w:rPr>
          <w:rFonts w:hint="eastAsia" w:ascii="宋体" w:hAnsi="宋体" w:eastAsia="宋体"/>
          <w:sz w:val="24"/>
          <w:szCs w:val="24"/>
        </w:rPr>
        <w:t>税号：</w:t>
      </w:r>
    </w:p>
    <w:p>
      <w:pPr>
        <w:spacing w:line="440" w:lineRule="exact"/>
        <w:rPr>
          <w:rFonts w:hint="eastAsia" w:ascii="宋体" w:hAnsi="宋体" w:eastAsia="宋体"/>
          <w:sz w:val="24"/>
          <w:szCs w:val="24"/>
        </w:rPr>
      </w:pPr>
    </w:p>
    <w:p>
      <w:r>
        <w:br w:type="page"/>
      </w:r>
    </w:p>
    <w:p/>
    <w:p>
      <w:pPr>
        <w:pStyle w:val="2"/>
        <w:numPr>
          <w:ilvl w:val="0"/>
          <w:numId w:val="2"/>
        </w:numPr>
        <w:snapToGrid w:val="0"/>
        <w:spacing w:before="0" w:after="0"/>
        <w:ind w:left="947" w:leftChars="0" w:hanging="947" w:firstLineChars="0"/>
        <w:jc w:val="center"/>
        <w:rPr>
          <w:rFonts w:hint="eastAsia" w:ascii="华文中宋" w:hAnsi="华文中宋" w:eastAsia="华文中宋"/>
          <w:color w:val="auto"/>
        </w:rPr>
      </w:pPr>
      <w:bookmarkStart w:id="110" w:name="_Toc49763004"/>
      <w:r>
        <w:rPr>
          <w:rFonts w:hint="eastAsia" w:ascii="华文中宋" w:hAnsi="华文中宋" w:eastAsia="华文中宋"/>
          <w:color w:val="auto"/>
        </w:rPr>
        <w:t xml:space="preserve"> 评分办法和评分细则</w:t>
      </w:r>
      <w:bookmarkEnd w:id="110"/>
    </w:p>
    <w:p>
      <w:pPr>
        <w:adjustRightInd w:val="0"/>
        <w:snapToGrid w:val="0"/>
        <w:spacing w:line="400" w:lineRule="exact"/>
        <w:rPr>
          <w:rFonts w:ascii="Times New Roman" w:hAnsi="Times New Roman" w:eastAsia="宋体"/>
          <w:sz w:val="24"/>
          <w:szCs w:val="24"/>
        </w:rPr>
      </w:pPr>
    </w:p>
    <w:tbl>
      <w:tblPr>
        <w:tblStyle w:val="27"/>
        <w:tblW w:w="0" w:type="auto"/>
        <w:jc w:val="center"/>
        <w:tblLayout w:type="fixed"/>
        <w:tblCellMar>
          <w:top w:w="0" w:type="dxa"/>
          <w:left w:w="108" w:type="dxa"/>
          <w:bottom w:w="0" w:type="dxa"/>
          <w:right w:w="108" w:type="dxa"/>
        </w:tblCellMar>
      </w:tblPr>
      <w:tblGrid>
        <w:gridCol w:w="712"/>
        <w:gridCol w:w="1801"/>
        <w:gridCol w:w="5765"/>
        <w:gridCol w:w="54"/>
      </w:tblGrid>
      <w:tr>
        <w:tblPrEx>
          <w:tblCellMar>
            <w:top w:w="0" w:type="dxa"/>
            <w:left w:w="108" w:type="dxa"/>
            <w:bottom w:w="0" w:type="dxa"/>
            <w:right w:w="108" w:type="dxa"/>
          </w:tblCellMar>
        </w:tblPrEx>
        <w:trPr>
          <w:trHeight w:val="61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bookmarkStart w:id="111" w:name="_Toc49763005"/>
            <w:r>
              <w:rPr>
                <w:rFonts w:hint="eastAsia" w:ascii="仿宋" w:hAnsi="仿宋" w:eastAsia="仿宋" w:cs="仿宋"/>
                <w:bCs/>
                <w:kern w:val="0"/>
                <w:sz w:val="24"/>
                <w:szCs w:val="24"/>
              </w:rPr>
              <w:t>序号</w:t>
            </w:r>
          </w:p>
        </w:tc>
        <w:tc>
          <w:tcPr>
            <w:tcW w:w="762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bCs/>
                <w:kern w:val="0"/>
                <w:sz w:val="24"/>
                <w:szCs w:val="24"/>
              </w:rPr>
              <w:t>细则</w:t>
            </w:r>
          </w:p>
        </w:tc>
      </w:tr>
      <w:tr>
        <w:tblPrEx>
          <w:tblCellMar>
            <w:top w:w="0" w:type="dxa"/>
            <w:left w:w="108" w:type="dxa"/>
            <w:bottom w:w="0" w:type="dxa"/>
            <w:right w:w="108" w:type="dxa"/>
          </w:tblCellMar>
        </w:tblPrEx>
        <w:trPr>
          <w:gridAfter w:val="1"/>
          <w:wAfter w:w="54" w:type="dxa"/>
          <w:trHeight w:val="1206"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pStyle w:val="33"/>
              <w:numPr>
                <w:ilvl w:val="0"/>
                <w:numId w:val="7"/>
              </w:numPr>
              <w:spacing w:line="360" w:lineRule="auto"/>
              <w:ind w:firstLineChars="0"/>
              <w:jc w:val="center"/>
              <w:rPr>
                <w:rFonts w:hint="eastAsia" w:ascii="仿宋" w:hAnsi="仿宋" w:eastAsia="仿宋" w:cs="仿宋"/>
                <w:sz w:val="24"/>
                <w:szCs w:val="24"/>
              </w:rPr>
            </w:pPr>
          </w:p>
        </w:tc>
        <w:tc>
          <w:tcPr>
            <w:tcW w:w="18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价格部分</w:t>
            </w:r>
          </w:p>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(20分)</w:t>
            </w:r>
          </w:p>
        </w:tc>
        <w:tc>
          <w:tcPr>
            <w:tcW w:w="5765" w:type="dxa"/>
            <w:tcBorders>
              <w:top w:val="single" w:color="auto" w:sz="4" w:space="0"/>
              <w:left w:val="single" w:color="auto" w:sz="4" w:space="0"/>
              <w:bottom w:val="single" w:color="auto" w:sz="4" w:space="0"/>
              <w:right w:val="single" w:color="auto" w:sz="4" w:space="0"/>
            </w:tcBorders>
            <w:noWrap w:val="0"/>
            <w:vAlign w:val="center"/>
          </w:tcPr>
          <w:p>
            <w:pPr>
              <w:pStyle w:val="10"/>
              <w:rPr>
                <w:rFonts w:hint="eastAsia" w:ascii="仿宋" w:hAnsi="仿宋" w:eastAsia="仿宋" w:cs="仿宋"/>
                <w:sz w:val="24"/>
                <w:szCs w:val="24"/>
              </w:rPr>
            </w:pPr>
            <w:r>
              <w:rPr>
                <w:rFonts w:hint="eastAsia" w:ascii="仿宋" w:hAnsi="仿宋" w:eastAsia="仿宋" w:cs="仿宋"/>
                <w:color w:val="000000"/>
                <w:sz w:val="24"/>
                <w:szCs w:val="24"/>
              </w:rPr>
              <w:t>以满足</w:t>
            </w:r>
            <w:r>
              <w:rPr>
                <w:rFonts w:hint="eastAsia" w:ascii="仿宋" w:hAnsi="仿宋" w:eastAsia="仿宋" w:cs="仿宋"/>
                <w:color w:val="000000"/>
                <w:sz w:val="24"/>
                <w:szCs w:val="24"/>
                <w:lang w:eastAsia="zh-CN"/>
              </w:rPr>
              <w:t>磋商</w:t>
            </w:r>
            <w:r>
              <w:rPr>
                <w:rFonts w:hint="eastAsia" w:ascii="仿宋" w:hAnsi="仿宋" w:eastAsia="仿宋" w:cs="仿宋"/>
                <w:color w:val="000000"/>
                <w:sz w:val="24"/>
                <w:szCs w:val="24"/>
              </w:rPr>
              <w:t>文件要求</w:t>
            </w:r>
            <w:r>
              <w:rPr>
                <w:rFonts w:hint="eastAsia" w:ascii="仿宋" w:hAnsi="仿宋" w:eastAsia="仿宋" w:cs="仿宋"/>
                <w:color w:val="000000"/>
                <w:sz w:val="24"/>
                <w:szCs w:val="24"/>
                <w:lang w:eastAsia="zh-CN"/>
              </w:rPr>
              <w:t>且投标价格</w:t>
            </w:r>
            <w:r>
              <w:rPr>
                <w:rFonts w:hint="eastAsia" w:ascii="仿宋" w:hAnsi="仿宋" w:eastAsia="仿宋" w:cs="仿宋"/>
                <w:color w:val="000000"/>
                <w:sz w:val="24"/>
                <w:szCs w:val="24"/>
              </w:rPr>
              <w:t>最低</w:t>
            </w:r>
            <w:r>
              <w:rPr>
                <w:rFonts w:hint="eastAsia" w:ascii="仿宋" w:hAnsi="仿宋" w:eastAsia="仿宋" w:cs="仿宋"/>
                <w:color w:val="000000"/>
                <w:sz w:val="24"/>
                <w:szCs w:val="24"/>
                <w:lang w:eastAsia="zh-CN"/>
              </w:rPr>
              <w:t>的投标报价为评标</w:t>
            </w:r>
            <w:r>
              <w:rPr>
                <w:rFonts w:hint="eastAsia" w:ascii="仿宋" w:hAnsi="仿宋" w:eastAsia="仿宋" w:cs="仿宋"/>
                <w:color w:val="000000"/>
                <w:sz w:val="24"/>
                <w:szCs w:val="24"/>
              </w:rPr>
              <w:t>基准价</w:t>
            </w:r>
            <w:r>
              <w:rPr>
                <w:rFonts w:hint="eastAsia" w:ascii="仿宋" w:hAnsi="仿宋" w:eastAsia="仿宋" w:cs="仿宋"/>
                <w:color w:val="000000"/>
                <w:sz w:val="24"/>
                <w:szCs w:val="24"/>
                <w:lang w:eastAsia="zh-CN"/>
              </w:rPr>
              <w:t>，报价</w:t>
            </w:r>
            <w:r>
              <w:rPr>
                <w:rFonts w:hint="eastAsia" w:ascii="仿宋" w:hAnsi="仿宋" w:eastAsia="仿宋" w:cs="仿宋"/>
                <w:color w:val="000000"/>
                <w:sz w:val="24"/>
                <w:szCs w:val="24"/>
              </w:rPr>
              <w:t>得分=（</w:t>
            </w:r>
            <w:r>
              <w:rPr>
                <w:rFonts w:hint="eastAsia" w:ascii="仿宋" w:hAnsi="仿宋" w:eastAsia="仿宋" w:cs="仿宋"/>
                <w:color w:val="000000"/>
                <w:sz w:val="24"/>
                <w:szCs w:val="24"/>
                <w:lang w:eastAsia="zh-CN"/>
              </w:rPr>
              <w:t>评标</w:t>
            </w:r>
            <w:r>
              <w:rPr>
                <w:rFonts w:hint="eastAsia" w:ascii="仿宋" w:hAnsi="仿宋" w:eastAsia="仿宋" w:cs="仿宋"/>
                <w:color w:val="000000"/>
                <w:sz w:val="24"/>
                <w:szCs w:val="24"/>
              </w:rPr>
              <w:t>基准价/</w:t>
            </w:r>
            <w:r>
              <w:rPr>
                <w:rFonts w:hint="eastAsia" w:ascii="仿宋" w:hAnsi="仿宋" w:eastAsia="仿宋" w:cs="仿宋"/>
                <w:color w:val="000000"/>
                <w:sz w:val="24"/>
                <w:szCs w:val="24"/>
                <w:lang w:eastAsia="zh-CN"/>
              </w:rPr>
              <w:t>投标</w:t>
            </w:r>
            <w:r>
              <w:rPr>
                <w:rFonts w:hint="eastAsia" w:ascii="仿宋" w:hAnsi="仿宋" w:eastAsia="仿宋" w:cs="仿宋"/>
                <w:color w:val="000000"/>
                <w:sz w:val="24"/>
                <w:szCs w:val="24"/>
              </w:rPr>
              <w:t>报价）×</w:t>
            </w:r>
            <w:r>
              <w:rPr>
                <w:rFonts w:hint="eastAsia" w:ascii="仿宋" w:hAnsi="仿宋" w:eastAsia="仿宋" w:cs="仿宋"/>
                <w:color w:val="000000"/>
                <w:sz w:val="24"/>
                <w:szCs w:val="24"/>
                <w:lang w:val="en-US" w:eastAsia="zh-CN"/>
              </w:rPr>
              <w:t>20</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100</w:t>
            </w:r>
            <w:r>
              <w:rPr>
                <w:rFonts w:hint="eastAsia" w:ascii="仿宋" w:hAnsi="仿宋" w:eastAsia="仿宋" w:cs="仿宋"/>
                <w:color w:val="000000"/>
                <w:sz w:val="24"/>
                <w:szCs w:val="24"/>
              </w:rPr>
              <w:t>%。（计算结果四舍五入，保留小数点后2位）</w:t>
            </w:r>
          </w:p>
        </w:tc>
      </w:tr>
      <w:tr>
        <w:tblPrEx>
          <w:tblCellMar>
            <w:top w:w="0" w:type="dxa"/>
            <w:left w:w="108" w:type="dxa"/>
            <w:bottom w:w="0" w:type="dxa"/>
            <w:right w:w="108" w:type="dxa"/>
          </w:tblCellMar>
        </w:tblPrEx>
        <w:trPr>
          <w:gridAfter w:val="1"/>
          <w:wAfter w:w="54" w:type="dxa"/>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pStyle w:val="33"/>
              <w:numPr>
                <w:ilvl w:val="0"/>
                <w:numId w:val="7"/>
              </w:numPr>
              <w:spacing w:line="360" w:lineRule="auto"/>
              <w:ind w:firstLineChars="0"/>
              <w:jc w:val="center"/>
              <w:rPr>
                <w:rFonts w:hint="eastAsia" w:ascii="仿宋" w:hAnsi="仿宋" w:eastAsia="仿宋" w:cs="仿宋"/>
                <w:sz w:val="24"/>
                <w:szCs w:val="24"/>
              </w:rPr>
            </w:pPr>
          </w:p>
        </w:tc>
        <w:tc>
          <w:tcPr>
            <w:tcW w:w="1801"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000000"/>
                <w:sz w:val="24"/>
                <w:szCs w:val="24"/>
              </w:rPr>
            </w:pPr>
          </w:p>
          <w:p>
            <w:pPr>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投标人及投标产品厂商资质</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分</w:t>
            </w:r>
            <w:r>
              <w:rPr>
                <w:rFonts w:hint="eastAsia" w:ascii="仿宋" w:hAnsi="仿宋" w:eastAsia="仿宋" w:cs="仿宋"/>
                <w:color w:val="000000"/>
                <w:sz w:val="24"/>
                <w:szCs w:val="24"/>
                <w:lang w:eastAsia="zh-CN"/>
              </w:rPr>
              <w:t>）</w:t>
            </w:r>
          </w:p>
          <w:p>
            <w:pPr>
              <w:snapToGrid w:val="0"/>
              <w:spacing w:line="400" w:lineRule="exact"/>
              <w:jc w:val="center"/>
              <w:rPr>
                <w:rFonts w:hint="eastAsia" w:ascii="仿宋" w:hAnsi="仿宋" w:eastAsia="仿宋" w:cs="仿宋"/>
                <w:kern w:val="0"/>
                <w:sz w:val="24"/>
                <w:szCs w:val="24"/>
              </w:rPr>
            </w:pPr>
          </w:p>
        </w:tc>
        <w:tc>
          <w:tcPr>
            <w:tcW w:w="57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1、投标人具有网站管理类</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内容发布类</w:t>
            </w:r>
            <w:r>
              <w:rPr>
                <w:rFonts w:hint="eastAsia" w:ascii="仿宋" w:hAnsi="仿宋" w:eastAsia="仿宋" w:cs="仿宋"/>
                <w:color w:val="000000"/>
                <w:sz w:val="24"/>
                <w:szCs w:val="24"/>
                <w:lang w:val="en-US" w:eastAsia="zh-CN"/>
              </w:rPr>
              <w:t>/融媒体发布类</w:t>
            </w:r>
            <w:r>
              <w:rPr>
                <w:rFonts w:hint="eastAsia" w:ascii="仿宋" w:hAnsi="仿宋" w:eastAsia="仿宋" w:cs="仿宋"/>
                <w:color w:val="000000"/>
                <w:sz w:val="24"/>
                <w:szCs w:val="24"/>
              </w:rPr>
              <w:t>计算机软件著作权登记证书</w:t>
            </w:r>
            <w:r>
              <w:rPr>
                <w:rFonts w:hint="eastAsia" w:ascii="仿宋" w:hAnsi="仿宋" w:eastAsia="仿宋" w:cs="仿宋"/>
                <w:color w:val="000000"/>
                <w:sz w:val="24"/>
                <w:szCs w:val="24"/>
                <w:lang w:val="en-US" w:eastAsia="zh-CN"/>
              </w:rPr>
              <w:t>的，每一项得1分</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最多</w:t>
            </w:r>
            <w:r>
              <w:rPr>
                <w:rFonts w:hint="eastAsia" w:ascii="仿宋" w:hAnsi="仿宋" w:eastAsia="仿宋" w:cs="仿宋"/>
                <w:color w:val="000000"/>
                <w:sz w:val="24"/>
                <w:szCs w:val="24"/>
              </w:rPr>
              <w:t>得</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分。</w:t>
            </w:r>
          </w:p>
          <w:p>
            <w:pPr>
              <w:spacing w:line="4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2、所投产品厂商具有重保安全管理类系统著作权，并提供有对应功能模块的检测报告，得</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分。</w:t>
            </w:r>
          </w:p>
          <w:p>
            <w:pPr>
              <w:spacing w:line="4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、投标人具有网站信创类计算机软件著作权登记证书，得</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分。</w:t>
            </w:r>
          </w:p>
          <w:p>
            <w:pPr>
              <w:spacing w:line="400" w:lineRule="exact"/>
              <w:jc w:val="left"/>
              <w:rPr>
                <w:rFonts w:hint="eastAsia" w:ascii="仿宋" w:hAnsi="仿宋" w:eastAsia="仿宋" w:cs="仿宋"/>
                <w:kern w:val="0"/>
                <w:sz w:val="24"/>
                <w:szCs w:val="24"/>
              </w:rPr>
            </w:pPr>
            <w:r>
              <w:rPr>
                <w:rFonts w:hint="eastAsia" w:ascii="仿宋" w:hAnsi="仿宋" w:eastAsia="仿宋" w:cs="仿宋"/>
                <w:color w:val="000000"/>
                <w:sz w:val="24"/>
                <w:szCs w:val="24"/>
              </w:rPr>
              <w:t>注：以上证书需提供著作权复印件。</w:t>
            </w:r>
          </w:p>
        </w:tc>
      </w:tr>
      <w:tr>
        <w:tblPrEx>
          <w:tblCellMar>
            <w:top w:w="0" w:type="dxa"/>
            <w:left w:w="108" w:type="dxa"/>
            <w:bottom w:w="0" w:type="dxa"/>
            <w:right w:w="108" w:type="dxa"/>
          </w:tblCellMar>
        </w:tblPrEx>
        <w:trPr>
          <w:gridAfter w:val="1"/>
          <w:wAfter w:w="54" w:type="dxa"/>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pStyle w:val="33"/>
              <w:numPr>
                <w:ilvl w:val="0"/>
                <w:numId w:val="7"/>
              </w:numPr>
              <w:spacing w:line="360" w:lineRule="auto"/>
              <w:ind w:firstLineChars="0"/>
              <w:jc w:val="center"/>
              <w:rPr>
                <w:rFonts w:hint="eastAsia" w:ascii="仿宋" w:hAnsi="仿宋" w:eastAsia="仿宋" w:cs="仿宋"/>
                <w:sz w:val="24"/>
                <w:szCs w:val="24"/>
              </w:rPr>
            </w:pPr>
          </w:p>
        </w:tc>
        <w:tc>
          <w:tcPr>
            <w:tcW w:w="1801" w:type="dxa"/>
            <w:tcBorders>
              <w:top w:val="single" w:color="auto" w:sz="4" w:space="0"/>
              <w:left w:val="single" w:color="auto" w:sz="4" w:space="0"/>
              <w:right w:val="single" w:color="auto" w:sz="4" w:space="0"/>
            </w:tcBorders>
            <w:noWrap w:val="0"/>
            <w:vAlign w:val="center"/>
          </w:tcPr>
          <w:p>
            <w:pPr>
              <w:autoSpaceDN w:val="0"/>
              <w:spacing w:line="400" w:lineRule="exact"/>
              <w:jc w:val="center"/>
              <w:textAlignment w:val="center"/>
              <w:rPr>
                <w:rFonts w:hint="eastAsia" w:ascii="仿宋" w:hAnsi="仿宋" w:eastAsia="仿宋" w:cs="仿宋"/>
                <w:kern w:val="0"/>
                <w:sz w:val="24"/>
                <w:szCs w:val="24"/>
              </w:rPr>
            </w:pPr>
            <w:r>
              <w:rPr>
                <w:rFonts w:hint="eastAsia" w:ascii="仿宋" w:hAnsi="仿宋" w:eastAsia="仿宋" w:cs="仿宋"/>
                <w:color w:val="000000"/>
                <w:sz w:val="24"/>
                <w:szCs w:val="24"/>
              </w:rPr>
              <w:t>业绩要求（</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分）</w:t>
            </w:r>
          </w:p>
        </w:tc>
        <w:tc>
          <w:tcPr>
            <w:tcW w:w="57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供应商具有网站及网站群建设项目合同案例项目业绩，每提供一个得</w:t>
            </w:r>
            <w:r>
              <w:rPr>
                <w:rFonts w:hint="eastAsia" w:ascii="仿宋" w:hAnsi="仿宋" w:eastAsia="仿宋" w:cs="仿宋"/>
                <w:color w:val="000000"/>
                <w:sz w:val="24"/>
                <w:szCs w:val="24"/>
                <w:lang w:val="en-US" w:eastAsia="zh-CN"/>
              </w:rPr>
              <w:t>2.5</w:t>
            </w:r>
            <w:r>
              <w:rPr>
                <w:rFonts w:hint="eastAsia" w:ascii="仿宋" w:hAnsi="仿宋" w:eastAsia="仿宋" w:cs="仿宋"/>
                <w:color w:val="000000"/>
                <w:sz w:val="24"/>
                <w:szCs w:val="24"/>
              </w:rPr>
              <w:t>分，满分</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分。</w:t>
            </w:r>
          </w:p>
          <w:p>
            <w:pPr>
              <w:autoSpaceDN w:val="0"/>
              <w:spacing w:line="400" w:lineRule="exac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注：须提供业绩合同原件扫描件或影印件，合同内容应能体现买卖双方名称、签订时间、合同首页、建设内容页、签字盖章页等内容，如无法体现上述内容则须提供合同甲方单位出具并盖章</w:t>
            </w:r>
            <w:r>
              <w:rPr>
                <w:rFonts w:hint="eastAsia" w:ascii="仿宋" w:hAnsi="仿宋" w:eastAsia="仿宋" w:cs="仿宋"/>
                <w:color w:val="000000"/>
                <w:sz w:val="24"/>
                <w:szCs w:val="24"/>
                <w:lang w:eastAsia="zh-CN"/>
              </w:rPr>
              <w:t>的</w:t>
            </w:r>
            <w:r>
              <w:rPr>
                <w:rFonts w:hint="eastAsia" w:ascii="仿宋" w:hAnsi="仿宋" w:eastAsia="仿宋" w:cs="仿宋"/>
                <w:color w:val="000000"/>
                <w:sz w:val="24"/>
                <w:szCs w:val="24"/>
              </w:rPr>
              <w:t>证明材料，未提供或提供不全不得分。</w:t>
            </w:r>
          </w:p>
        </w:tc>
      </w:tr>
      <w:tr>
        <w:tblPrEx>
          <w:tblCellMar>
            <w:top w:w="0" w:type="dxa"/>
            <w:left w:w="108" w:type="dxa"/>
            <w:bottom w:w="0" w:type="dxa"/>
            <w:right w:w="108" w:type="dxa"/>
          </w:tblCellMar>
        </w:tblPrEx>
        <w:trPr>
          <w:gridAfter w:val="1"/>
          <w:wAfter w:w="54" w:type="dxa"/>
          <w:trHeight w:val="28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pStyle w:val="33"/>
              <w:numPr>
                <w:ilvl w:val="0"/>
                <w:numId w:val="7"/>
              </w:numPr>
              <w:spacing w:line="360" w:lineRule="auto"/>
              <w:ind w:firstLineChars="0"/>
              <w:jc w:val="center"/>
              <w:rPr>
                <w:rFonts w:hint="eastAsia" w:ascii="仿宋" w:hAnsi="仿宋" w:eastAsia="仿宋" w:cs="仿宋"/>
                <w:sz w:val="24"/>
                <w:szCs w:val="24"/>
              </w:rPr>
            </w:pPr>
          </w:p>
        </w:tc>
        <w:tc>
          <w:tcPr>
            <w:tcW w:w="1801" w:type="dxa"/>
            <w:tcBorders>
              <w:top w:val="single" w:color="auto" w:sz="4" w:space="0"/>
              <w:left w:val="single" w:color="auto" w:sz="4" w:space="0"/>
              <w:right w:val="single" w:color="auto" w:sz="4" w:space="0"/>
            </w:tcBorders>
            <w:noWrap w:val="0"/>
            <w:vAlign w:val="top"/>
          </w:tcPr>
          <w:p>
            <w:pPr>
              <w:widowControl/>
              <w:spacing w:line="400" w:lineRule="exact"/>
              <w:jc w:val="center"/>
              <w:rPr>
                <w:rFonts w:hint="eastAsia" w:ascii="仿宋" w:hAnsi="仿宋" w:eastAsia="仿宋" w:cs="仿宋"/>
                <w:sz w:val="24"/>
                <w:szCs w:val="24"/>
              </w:rPr>
            </w:pPr>
            <w:r>
              <w:rPr>
                <w:rFonts w:hint="eastAsia" w:ascii="仿宋" w:hAnsi="仿宋" w:eastAsia="仿宋" w:cs="仿宋"/>
                <w:color w:val="000000"/>
                <w:sz w:val="24"/>
                <w:szCs w:val="24"/>
              </w:rPr>
              <w:t>产品安全保障（5分）</w:t>
            </w:r>
          </w:p>
        </w:tc>
        <w:tc>
          <w:tcPr>
            <w:tcW w:w="5765"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hint="eastAsia" w:ascii="仿宋" w:hAnsi="仿宋" w:eastAsia="仿宋" w:cs="仿宋"/>
                <w:sz w:val="24"/>
                <w:szCs w:val="24"/>
              </w:rPr>
            </w:pPr>
            <w:r>
              <w:rPr>
                <w:rFonts w:hint="eastAsia" w:ascii="仿宋" w:hAnsi="仿宋" w:eastAsia="仿宋" w:cs="仿宋"/>
                <w:color w:val="000000"/>
                <w:sz w:val="24"/>
                <w:szCs w:val="24"/>
              </w:rPr>
              <w:t>鉴于近期安全漏洞频发，为了保障本次项目建设所选产品的安全性，要求投标人及投标人所投门户网站建设产品没有任何在“国家信息安全漏洞共享平台”被通报的安全漏洞事件（危害级别为中、高级）。投标人须出具相关证明承诺及网站（https://www.cnvd.org.cn/）查询截图并加盖公章，提供得5分，提供不全或未提供不得分。</w:t>
            </w:r>
          </w:p>
        </w:tc>
      </w:tr>
      <w:tr>
        <w:tblPrEx>
          <w:tblCellMar>
            <w:top w:w="0" w:type="dxa"/>
            <w:left w:w="108" w:type="dxa"/>
            <w:bottom w:w="0" w:type="dxa"/>
            <w:right w:w="108" w:type="dxa"/>
          </w:tblCellMar>
        </w:tblPrEx>
        <w:trPr>
          <w:gridAfter w:val="1"/>
          <w:wAfter w:w="54" w:type="dxa"/>
          <w:trHeight w:val="28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pStyle w:val="33"/>
              <w:numPr>
                <w:ilvl w:val="0"/>
                <w:numId w:val="7"/>
              </w:numPr>
              <w:spacing w:line="360" w:lineRule="auto"/>
              <w:ind w:firstLineChars="0"/>
              <w:jc w:val="center"/>
              <w:rPr>
                <w:rFonts w:hint="eastAsia" w:ascii="仿宋" w:hAnsi="仿宋" w:eastAsia="仿宋" w:cs="仿宋"/>
                <w:sz w:val="24"/>
                <w:szCs w:val="24"/>
              </w:rPr>
            </w:pPr>
          </w:p>
        </w:tc>
        <w:tc>
          <w:tcPr>
            <w:tcW w:w="1801" w:type="dxa"/>
            <w:tcBorders>
              <w:top w:val="single" w:color="auto" w:sz="4" w:space="0"/>
              <w:left w:val="single" w:color="auto" w:sz="4" w:space="0"/>
              <w:right w:val="single" w:color="auto" w:sz="4" w:space="0"/>
            </w:tcBorders>
            <w:noWrap w:val="0"/>
            <w:vAlign w:val="center"/>
          </w:tcPr>
          <w:p>
            <w:pPr>
              <w:autoSpaceDN w:val="0"/>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产品国产化兼容特性（5分</w:t>
            </w:r>
            <w:r>
              <w:rPr>
                <w:rFonts w:hint="eastAsia" w:ascii="仿宋" w:hAnsi="仿宋" w:eastAsia="仿宋" w:cs="仿宋"/>
                <w:color w:val="000000"/>
                <w:sz w:val="24"/>
                <w:szCs w:val="24"/>
                <w:lang w:eastAsia="zh-CN"/>
              </w:rPr>
              <w:t>）</w:t>
            </w:r>
          </w:p>
        </w:tc>
        <w:tc>
          <w:tcPr>
            <w:tcW w:w="576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投标人提供国产化兼容性认证证书；提供网站群平台支持国产化，提供与国产化中间件、数据库、操作系统、硬件等互认证书，每提供一个得1分，少于3个不得分，计满5分为止。</w:t>
            </w:r>
          </w:p>
        </w:tc>
      </w:tr>
      <w:tr>
        <w:tblPrEx>
          <w:tblCellMar>
            <w:top w:w="0" w:type="dxa"/>
            <w:left w:w="108" w:type="dxa"/>
            <w:bottom w:w="0" w:type="dxa"/>
            <w:right w:w="108" w:type="dxa"/>
          </w:tblCellMar>
        </w:tblPrEx>
        <w:trPr>
          <w:gridAfter w:val="1"/>
          <w:wAfter w:w="54" w:type="dxa"/>
          <w:trHeight w:val="28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pStyle w:val="33"/>
              <w:numPr>
                <w:ilvl w:val="0"/>
                <w:numId w:val="7"/>
              </w:numPr>
              <w:spacing w:line="360" w:lineRule="auto"/>
              <w:ind w:firstLineChars="0"/>
              <w:jc w:val="center"/>
              <w:rPr>
                <w:rFonts w:hint="eastAsia" w:ascii="仿宋" w:hAnsi="仿宋" w:eastAsia="仿宋" w:cs="仿宋"/>
                <w:sz w:val="24"/>
                <w:szCs w:val="24"/>
              </w:rPr>
            </w:pPr>
          </w:p>
        </w:tc>
        <w:tc>
          <w:tcPr>
            <w:tcW w:w="1801" w:type="dxa"/>
            <w:tcBorders>
              <w:top w:val="single" w:color="auto" w:sz="4" w:space="0"/>
              <w:left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等保测评（</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分）</w:t>
            </w:r>
          </w:p>
        </w:tc>
        <w:tc>
          <w:tcPr>
            <w:tcW w:w="576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提供所投门户网站建设产品的安全评估报告，报告内容须至少包含“等保合规性检查、渗透测试、源代码审计”三项内容，提供符合要求的并加盖门户网站建设产品厂家公章的报告原件扫描件或影印件，得</w:t>
            </w:r>
            <w:r>
              <w:rPr>
                <w:rFonts w:hint="eastAsia" w:ascii="仿宋" w:hAnsi="仿宋" w:eastAsia="仿宋" w:cs="仿宋"/>
                <w:kern w:val="0"/>
                <w:sz w:val="24"/>
                <w:szCs w:val="24"/>
                <w:lang w:eastAsia="zh-CN"/>
              </w:rPr>
              <w:t>7</w:t>
            </w:r>
            <w:r>
              <w:rPr>
                <w:rFonts w:hint="eastAsia" w:ascii="仿宋" w:hAnsi="仿宋" w:eastAsia="仿宋" w:cs="仿宋"/>
                <w:kern w:val="0"/>
                <w:sz w:val="24"/>
                <w:szCs w:val="24"/>
              </w:rPr>
              <w:t>分，提供不全或未提供的不得分。</w:t>
            </w:r>
          </w:p>
        </w:tc>
      </w:tr>
      <w:tr>
        <w:tblPrEx>
          <w:tblCellMar>
            <w:top w:w="0" w:type="dxa"/>
            <w:left w:w="108" w:type="dxa"/>
            <w:bottom w:w="0" w:type="dxa"/>
            <w:right w:w="108" w:type="dxa"/>
          </w:tblCellMar>
        </w:tblPrEx>
        <w:trPr>
          <w:gridAfter w:val="1"/>
          <w:wAfter w:w="54" w:type="dxa"/>
          <w:trHeight w:val="28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pStyle w:val="33"/>
              <w:numPr>
                <w:ilvl w:val="0"/>
                <w:numId w:val="7"/>
              </w:numPr>
              <w:spacing w:line="360" w:lineRule="auto"/>
              <w:ind w:firstLineChars="0"/>
              <w:jc w:val="center"/>
              <w:rPr>
                <w:rFonts w:hint="eastAsia" w:ascii="仿宋" w:hAnsi="仿宋" w:eastAsia="仿宋" w:cs="仿宋"/>
                <w:sz w:val="24"/>
                <w:szCs w:val="24"/>
              </w:rPr>
            </w:pPr>
          </w:p>
        </w:tc>
        <w:tc>
          <w:tcPr>
            <w:tcW w:w="1801"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项目实施服务方案</w:t>
            </w:r>
          </w:p>
          <w:p>
            <w:pPr>
              <w:snapToGrid w:val="0"/>
              <w:spacing w:line="400" w:lineRule="exact"/>
              <w:jc w:val="center"/>
              <w:rPr>
                <w:rFonts w:hint="eastAsia" w:ascii="仿宋" w:hAnsi="仿宋" w:eastAsia="仿宋" w:cs="仿宋"/>
                <w:kern w:val="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18</w:t>
            </w:r>
            <w:r>
              <w:rPr>
                <w:rFonts w:hint="eastAsia" w:ascii="仿宋" w:hAnsi="仿宋" w:eastAsia="仿宋" w:cs="仿宋"/>
                <w:color w:val="000000"/>
                <w:sz w:val="24"/>
                <w:szCs w:val="24"/>
              </w:rPr>
              <w:t>分）</w:t>
            </w:r>
          </w:p>
        </w:tc>
        <w:tc>
          <w:tcPr>
            <w:tcW w:w="576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hint="eastAsia" w:ascii="仿宋" w:hAnsi="仿宋" w:eastAsia="仿宋" w:cs="仿宋"/>
                <w:kern w:val="0"/>
                <w:sz w:val="24"/>
                <w:szCs w:val="24"/>
              </w:rPr>
            </w:pPr>
            <w:r>
              <w:rPr>
                <w:rFonts w:hint="eastAsia" w:ascii="仿宋" w:hAnsi="仿宋" w:eastAsia="仿宋" w:cs="仿宋"/>
                <w:color w:val="000000"/>
                <w:sz w:val="24"/>
                <w:szCs w:val="24"/>
              </w:rPr>
              <w:t>根据投标人针对本项目提供的项目实施方案，从方案的完整性和贴合性进行综合评分：内容完整、详细，完全贴合项目需求的，得</w:t>
            </w:r>
            <w:r>
              <w:rPr>
                <w:rFonts w:hint="eastAsia" w:ascii="仿宋" w:hAnsi="仿宋" w:eastAsia="仿宋" w:cs="仿宋"/>
                <w:color w:val="000000"/>
                <w:sz w:val="24"/>
                <w:szCs w:val="24"/>
                <w:lang w:val="en-US" w:eastAsia="zh-CN"/>
              </w:rPr>
              <w:t>18</w:t>
            </w:r>
            <w:r>
              <w:rPr>
                <w:rFonts w:hint="eastAsia" w:ascii="仿宋" w:hAnsi="仿宋" w:eastAsia="仿宋" w:cs="仿宋"/>
                <w:color w:val="000000"/>
                <w:sz w:val="24"/>
                <w:szCs w:val="24"/>
              </w:rPr>
              <w:t>分；方案内容基本完整、较为贴合项目需求的，得</w:t>
            </w:r>
            <w:r>
              <w:rPr>
                <w:rFonts w:hint="eastAsia" w:ascii="仿宋" w:hAnsi="仿宋" w:eastAsia="仿宋" w:cs="仿宋"/>
                <w:color w:val="000000"/>
                <w:sz w:val="24"/>
                <w:szCs w:val="24"/>
                <w:lang w:val="en-US" w:eastAsia="zh-CN"/>
              </w:rPr>
              <w:t>12</w:t>
            </w:r>
            <w:r>
              <w:rPr>
                <w:rFonts w:hint="eastAsia" w:ascii="仿宋" w:hAnsi="仿宋" w:eastAsia="仿宋" w:cs="仿宋"/>
                <w:color w:val="000000"/>
                <w:sz w:val="24"/>
                <w:szCs w:val="24"/>
              </w:rPr>
              <w:t>分；方案内容完整性一般、基本贴合项目需求的，得</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分；方案内容完整性、贴合性差的，得0分。</w:t>
            </w:r>
          </w:p>
        </w:tc>
      </w:tr>
      <w:tr>
        <w:tblPrEx>
          <w:tblCellMar>
            <w:top w:w="0" w:type="dxa"/>
            <w:left w:w="108" w:type="dxa"/>
            <w:bottom w:w="0" w:type="dxa"/>
            <w:right w:w="108" w:type="dxa"/>
          </w:tblCellMar>
        </w:tblPrEx>
        <w:trPr>
          <w:gridAfter w:val="1"/>
          <w:wAfter w:w="54" w:type="dxa"/>
          <w:trHeight w:val="28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pStyle w:val="33"/>
              <w:numPr>
                <w:ilvl w:val="0"/>
                <w:numId w:val="7"/>
              </w:numPr>
              <w:spacing w:line="360" w:lineRule="auto"/>
              <w:ind w:firstLineChars="0"/>
              <w:jc w:val="center"/>
              <w:rPr>
                <w:rFonts w:hint="eastAsia" w:ascii="仿宋" w:hAnsi="仿宋" w:eastAsia="仿宋" w:cs="仿宋"/>
                <w:sz w:val="24"/>
                <w:szCs w:val="24"/>
              </w:rPr>
            </w:pPr>
          </w:p>
        </w:tc>
        <w:tc>
          <w:tcPr>
            <w:tcW w:w="1801"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产品</w:t>
            </w:r>
            <w:r>
              <w:rPr>
                <w:rFonts w:hint="eastAsia" w:ascii="仿宋" w:hAnsi="仿宋" w:eastAsia="仿宋" w:cs="仿宋"/>
                <w:color w:val="000000"/>
                <w:sz w:val="24"/>
                <w:szCs w:val="24"/>
                <w:lang w:val="en-US" w:eastAsia="zh-CN"/>
              </w:rPr>
              <w:t>功能</w:t>
            </w:r>
            <w:r>
              <w:rPr>
                <w:rFonts w:hint="eastAsia" w:ascii="仿宋" w:hAnsi="仿宋" w:eastAsia="仿宋" w:cs="仿宋"/>
                <w:color w:val="000000"/>
                <w:sz w:val="24"/>
                <w:szCs w:val="24"/>
              </w:rPr>
              <w:t>演示</w:t>
            </w:r>
          </w:p>
          <w:p>
            <w:pPr>
              <w:snapToGrid w:val="0"/>
              <w:spacing w:line="400" w:lineRule="exact"/>
              <w:jc w:val="center"/>
              <w:rPr>
                <w:rFonts w:hint="eastAsia" w:ascii="仿宋" w:hAnsi="仿宋" w:eastAsia="仿宋" w:cs="仿宋"/>
                <w:kern w:val="0"/>
                <w:sz w:val="24"/>
                <w:szCs w:val="24"/>
                <w:highlight w:val="none"/>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20</w:t>
            </w:r>
            <w:r>
              <w:rPr>
                <w:rFonts w:hint="eastAsia" w:ascii="仿宋" w:hAnsi="仿宋" w:eastAsia="仿宋" w:cs="仿宋"/>
                <w:color w:val="000000"/>
                <w:sz w:val="24"/>
                <w:szCs w:val="24"/>
              </w:rPr>
              <w:t>分）</w:t>
            </w:r>
          </w:p>
        </w:tc>
        <w:tc>
          <w:tcPr>
            <w:tcW w:w="5765" w:type="dxa"/>
            <w:tcBorders>
              <w:top w:val="single" w:color="auto" w:sz="4" w:space="0"/>
              <w:left w:val="single" w:color="auto" w:sz="4" w:space="0"/>
              <w:bottom w:val="single" w:color="auto" w:sz="4" w:space="0"/>
              <w:right w:val="single" w:color="auto" w:sz="4" w:space="0"/>
            </w:tcBorders>
            <w:noWrap w:val="0"/>
            <w:vAlign w:val="center"/>
          </w:tcPr>
          <w:p>
            <w:pPr>
              <w:autoSpaceDN w:val="0"/>
              <w:spacing w:line="4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从界面设计、功能设计、功能实现、用户体验、</w:t>
            </w:r>
            <w:r>
              <w:rPr>
                <w:rFonts w:hint="eastAsia" w:ascii="仿宋" w:hAnsi="仿宋" w:eastAsia="仿宋" w:cs="仿宋"/>
                <w:color w:val="000000"/>
                <w:sz w:val="24"/>
                <w:szCs w:val="24"/>
                <w:lang w:val="en-US" w:eastAsia="zh-CN"/>
              </w:rPr>
              <w:t>重要参数演示、</w:t>
            </w:r>
            <w:r>
              <w:rPr>
                <w:rFonts w:hint="eastAsia" w:ascii="仿宋" w:hAnsi="仿宋" w:eastAsia="仿宋" w:cs="仿宋"/>
                <w:color w:val="000000"/>
                <w:sz w:val="24"/>
                <w:szCs w:val="24"/>
              </w:rPr>
              <w:t>网站预期建设情况等内容对投标人演示的内容进行打分。</w:t>
            </w:r>
          </w:p>
          <w:p>
            <w:pPr>
              <w:autoSpaceDN w:val="0"/>
              <w:spacing w:line="4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系统功能设计合理、功能全面完整、建设思路清晰、可操作性强</w:t>
            </w:r>
            <w:r>
              <w:rPr>
                <w:rFonts w:hint="eastAsia" w:ascii="仿宋" w:hAnsi="仿宋" w:eastAsia="仿宋" w:cs="仿宋"/>
                <w:color w:val="000000"/>
                <w:sz w:val="24"/>
                <w:szCs w:val="24"/>
                <w:lang w:val="en-US" w:eastAsia="zh-CN"/>
              </w:rPr>
              <w:t>，完全</w:t>
            </w:r>
            <w:r>
              <w:rPr>
                <w:rFonts w:hint="eastAsia" w:ascii="仿宋" w:hAnsi="仿宋" w:eastAsia="仿宋" w:cs="仿宋"/>
                <w:color w:val="000000"/>
                <w:sz w:val="24"/>
                <w:szCs w:val="24"/>
              </w:rPr>
              <w:t>满足</w:t>
            </w:r>
            <w:r>
              <w:rPr>
                <w:rFonts w:hint="eastAsia" w:ascii="仿宋" w:hAnsi="仿宋" w:eastAsia="仿宋" w:cs="仿宋"/>
                <w:color w:val="000000"/>
                <w:sz w:val="24"/>
                <w:szCs w:val="24"/>
                <w:lang w:val="en-US" w:eastAsia="zh-CN"/>
              </w:rPr>
              <w:t>我校</w:t>
            </w:r>
            <w:r>
              <w:rPr>
                <w:rFonts w:hint="eastAsia" w:ascii="仿宋" w:hAnsi="仿宋" w:eastAsia="仿宋" w:cs="仿宋"/>
                <w:color w:val="000000"/>
                <w:sz w:val="24"/>
                <w:szCs w:val="24"/>
              </w:rPr>
              <w:t>应用要求的，得</w:t>
            </w:r>
            <w:r>
              <w:rPr>
                <w:rFonts w:hint="eastAsia" w:ascii="仿宋" w:hAnsi="仿宋" w:eastAsia="仿宋" w:cs="仿宋"/>
                <w:color w:val="000000"/>
                <w:sz w:val="24"/>
                <w:szCs w:val="24"/>
                <w:lang w:val="en-US" w:eastAsia="zh-CN"/>
              </w:rPr>
              <w:t>20</w:t>
            </w:r>
            <w:r>
              <w:rPr>
                <w:rFonts w:hint="eastAsia" w:ascii="仿宋" w:hAnsi="仿宋" w:eastAsia="仿宋" w:cs="仿宋"/>
                <w:color w:val="000000"/>
                <w:sz w:val="24"/>
                <w:szCs w:val="24"/>
              </w:rPr>
              <w:t>分；</w:t>
            </w:r>
          </w:p>
          <w:p>
            <w:pPr>
              <w:autoSpaceDN w:val="0"/>
              <w:spacing w:line="4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系统功能设计较合理、功能基本完整、建设思路较为清晰、具有可操作性</w:t>
            </w:r>
            <w:r>
              <w:rPr>
                <w:rFonts w:hint="eastAsia" w:ascii="仿宋" w:hAnsi="仿宋" w:eastAsia="仿宋" w:cs="仿宋"/>
                <w:color w:val="000000"/>
                <w:sz w:val="24"/>
                <w:szCs w:val="24"/>
                <w:lang w:val="en-US" w:eastAsia="zh-CN"/>
              </w:rPr>
              <w:t>，基本</w:t>
            </w:r>
            <w:r>
              <w:rPr>
                <w:rFonts w:hint="eastAsia" w:ascii="仿宋" w:hAnsi="仿宋" w:eastAsia="仿宋" w:cs="仿宋"/>
                <w:color w:val="000000"/>
                <w:sz w:val="24"/>
                <w:szCs w:val="24"/>
              </w:rPr>
              <w:t>满足</w:t>
            </w:r>
            <w:r>
              <w:rPr>
                <w:rFonts w:hint="eastAsia" w:ascii="仿宋" w:hAnsi="仿宋" w:eastAsia="仿宋" w:cs="仿宋"/>
                <w:color w:val="000000"/>
                <w:sz w:val="24"/>
                <w:szCs w:val="24"/>
                <w:lang w:val="en-US" w:eastAsia="zh-CN"/>
              </w:rPr>
              <w:t>我校</w:t>
            </w:r>
            <w:r>
              <w:rPr>
                <w:rFonts w:hint="eastAsia" w:ascii="仿宋" w:hAnsi="仿宋" w:eastAsia="仿宋" w:cs="仿宋"/>
                <w:color w:val="000000"/>
                <w:sz w:val="24"/>
                <w:szCs w:val="24"/>
              </w:rPr>
              <w:t>应用要求的，得</w:t>
            </w:r>
            <w:r>
              <w:rPr>
                <w:rFonts w:hint="eastAsia" w:ascii="仿宋" w:hAnsi="仿宋" w:eastAsia="仿宋" w:cs="仿宋"/>
                <w:color w:val="000000"/>
                <w:sz w:val="24"/>
                <w:szCs w:val="24"/>
                <w:lang w:val="en-US" w:eastAsia="zh-CN"/>
              </w:rPr>
              <w:t>14</w:t>
            </w:r>
            <w:r>
              <w:rPr>
                <w:rFonts w:hint="eastAsia" w:ascii="仿宋" w:hAnsi="仿宋" w:eastAsia="仿宋" w:cs="仿宋"/>
                <w:color w:val="000000"/>
                <w:sz w:val="24"/>
                <w:szCs w:val="24"/>
              </w:rPr>
              <w:t>分；</w:t>
            </w:r>
          </w:p>
          <w:p>
            <w:pPr>
              <w:autoSpaceDN w:val="0"/>
              <w:spacing w:line="4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系统功能设计有待完善</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可操作性一般</w:t>
            </w:r>
            <w:r>
              <w:rPr>
                <w:rFonts w:hint="eastAsia" w:ascii="仿宋" w:hAnsi="仿宋" w:eastAsia="仿宋" w:cs="仿宋"/>
                <w:color w:val="000000"/>
                <w:sz w:val="24"/>
                <w:szCs w:val="24"/>
              </w:rPr>
              <w:t>，得</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分；</w:t>
            </w:r>
          </w:p>
          <w:p>
            <w:pPr>
              <w:autoSpaceDN w:val="0"/>
              <w:spacing w:line="4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系统功能设计不合理或未提供</w:t>
            </w:r>
            <w:r>
              <w:rPr>
                <w:rFonts w:hint="eastAsia" w:ascii="仿宋" w:hAnsi="仿宋" w:eastAsia="仿宋" w:cs="仿宋"/>
                <w:color w:val="000000"/>
                <w:sz w:val="24"/>
                <w:szCs w:val="24"/>
                <w:lang w:val="en-US" w:eastAsia="zh-CN"/>
              </w:rPr>
              <w:t>演示</w:t>
            </w:r>
            <w:r>
              <w:rPr>
                <w:rFonts w:hint="eastAsia" w:ascii="仿宋" w:hAnsi="仿宋" w:eastAsia="仿宋" w:cs="仿宋"/>
                <w:color w:val="000000"/>
                <w:sz w:val="24"/>
                <w:szCs w:val="24"/>
              </w:rPr>
              <w:t>的，得</w:t>
            </w:r>
            <w:r>
              <w:rPr>
                <w:rFonts w:hint="eastAsia" w:ascii="仿宋" w:hAnsi="仿宋" w:eastAsia="仿宋" w:cs="仿宋"/>
                <w:color w:val="000000"/>
                <w:sz w:val="24"/>
                <w:szCs w:val="24"/>
                <w:lang w:val="en-US" w:eastAsia="zh-CN"/>
              </w:rPr>
              <w:t>0</w:t>
            </w:r>
            <w:r>
              <w:rPr>
                <w:rFonts w:hint="eastAsia" w:ascii="仿宋" w:hAnsi="仿宋" w:eastAsia="仿宋" w:cs="仿宋"/>
                <w:color w:val="000000"/>
                <w:sz w:val="24"/>
                <w:szCs w:val="24"/>
              </w:rPr>
              <w:t>分。</w:t>
            </w:r>
          </w:p>
          <w:p>
            <w:pPr>
              <w:autoSpaceDN w:val="0"/>
              <w:spacing w:line="4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演示要求：1.投标单位需对网站的主要功能进行现场演示，每位投标人演示时长不得超过</w:t>
            </w:r>
            <w:r>
              <w:rPr>
                <w:rFonts w:hint="eastAsia" w:ascii="仿宋" w:hAnsi="仿宋" w:eastAsia="仿宋" w:cs="仿宋"/>
                <w:color w:val="000000"/>
                <w:sz w:val="24"/>
                <w:szCs w:val="24"/>
                <w:lang w:val="en-US" w:eastAsia="zh-CN"/>
              </w:rPr>
              <w:t>15</w:t>
            </w:r>
            <w:r>
              <w:rPr>
                <w:rFonts w:hint="eastAsia" w:ascii="仿宋" w:hAnsi="仿宋" w:eastAsia="仿宋" w:cs="仿宋"/>
                <w:color w:val="000000"/>
                <w:sz w:val="24"/>
                <w:szCs w:val="24"/>
              </w:rPr>
              <w:t>分钟。</w:t>
            </w:r>
          </w:p>
          <w:p>
            <w:pPr>
              <w:autoSpaceDN w:val="0"/>
              <w:spacing w:line="4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2.自备演示所需产品、设备、数据、网络等。放弃演示不得分。</w:t>
            </w:r>
          </w:p>
          <w:p>
            <w:pPr>
              <w:autoSpaceDN w:val="0"/>
              <w:spacing w:line="4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3. 现场演示人员应在项目评审当天随时在指定地点等候，在演示环节如遇投标人自行离开现场导致无法联系或长时间无法到场的（未在等候区的，经电话联系后10分钟内未到场），则视为放弃演示。</w:t>
            </w:r>
          </w:p>
          <w:p>
            <w:pPr>
              <w:autoSpaceDN w:val="0"/>
              <w:spacing w:line="4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4.投标人须通过实际系统环境进行演示，投标人通过PPT、word、播放视频、截图、录屏等方式演示的均不得分。</w:t>
            </w:r>
          </w:p>
          <w:p>
            <w:pPr>
              <w:autoSpaceDN w:val="0"/>
              <w:spacing w:line="400" w:lineRule="exact"/>
              <w:jc w:val="left"/>
              <w:textAlignment w:val="center"/>
              <w:rPr>
                <w:rFonts w:hint="eastAsia" w:ascii="仿宋" w:hAnsi="仿宋" w:eastAsia="仿宋" w:cs="仿宋"/>
                <w:sz w:val="24"/>
                <w:szCs w:val="24"/>
                <w:highlight w:val="none"/>
              </w:rPr>
            </w:pPr>
            <w:r>
              <w:rPr>
                <w:rFonts w:hint="eastAsia" w:ascii="仿宋" w:hAnsi="仿宋" w:eastAsia="仿宋" w:cs="仿宋"/>
                <w:color w:val="000000"/>
                <w:sz w:val="24"/>
                <w:szCs w:val="24"/>
              </w:rPr>
              <w:t>5.如因投标单位自备的演示设备故障等原因导致演示过程中出现问题，后果由投标单位自行承担。</w:t>
            </w:r>
          </w:p>
        </w:tc>
      </w:tr>
      <w:tr>
        <w:tblPrEx>
          <w:tblCellMar>
            <w:top w:w="0" w:type="dxa"/>
            <w:left w:w="108" w:type="dxa"/>
            <w:bottom w:w="0" w:type="dxa"/>
            <w:right w:w="108" w:type="dxa"/>
          </w:tblCellMar>
        </w:tblPrEx>
        <w:trPr>
          <w:gridAfter w:val="1"/>
          <w:wAfter w:w="54" w:type="dxa"/>
          <w:trHeight w:val="28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pStyle w:val="33"/>
              <w:numPr>
                <w:ilvl w:val="0"/>
                <w:numId w:val="7"/>
              </w:numPr>
              <w:spacing w:line="360" w:lineRule="auto"/>
              <w:ind w:firstLineChars="0"/>
              <w:jc w:val="center"/>
              <w:rPr>
                <w:rFonts w:hint="eastAsia" w:ascii="仿宋" w:hAnsi="仿宋" w:eastAsia="仿宋" w:cs="仿宋"/>
                <w:sz w:val="24"/>
                <w:szCs w:val="24"/>
              </w:rPr>
            </w:pPr>
          </w:p>
        </w:tc>
        <w:tc>
          <w:tcPr>
            <w:tcW w:w="1801"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szCs w:val="24"/>
              </w:rPr>
            </w:pPr>
            <w:r>
              <w:rPr>
                <w:rFonts w:hint="eastAsia" w:ascii="仿宋" w:hAnsi="仿宋" w:eastAsia="仿宋" w:cs="仿宋"/>
                <w:color w:val="000000"/>
                <w:sz w:val="24"/>
                <w:szCs w:val="24"/>
              </w:rPr>
              <w:t>项目团队实力（5分）</w:t>
            </w:r>
          </w:p>
        </w:tc>
        <w:tc>
          <w:tcPr>
            <w:tcW w:w="576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1.拟派项目团队成员中至少须配备“项目经理、设计师、前端工程师、后端工程师”4名核心岗位人员，核心岗位人员不得兼任，人员配备齐全得4分，否则不得分。</w:t>
            </w:r>
          </w:p>
          <w:p>
            <w:pPr>
              <w:snapToGrid w:val="0"/>
              <w:spacing w:line="4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2.拟派项目团队成员具有信息系统项目管理师证书的，得1分。</w:t>
            </w:r>
          </w:p>
          <w:p>
            <w:pPr>
              <w:snapToGrid w:val="0"/>
              <w:spacing w:line="400" w:lineRule="exact"/>
              <w:jc w:val="left"/>
              <w:rPr>
                <w:rFonts w:hint="eastAsia" w:ascii="仿宋" w:hAnsi="仿宋" w:eastAsia="仿宋" w:cs="仿宋"/>
                <w:kern w:val="0"/>
                <w:sz w:val="24"/>
                <w:szCs w:val="24"/>
                <w:lang w:eastAsia="zh-CN"/>
              </w:rPr>
            </w:pPr>
            <w:r>
              <w:rPr>
                <w:rFonts w:hint="eastAsia" w:ascii="仿宋" w:hAnsi="仿宋" w:eastAsia="仿宋" w:cs="仿宋"/>
                <w:color w:val="000000"/>
                <w:sz w:val="24"/>
                <w:szCs w:val="24"/>
              </w:rPr>
              <w:t>注：提供上述证书原件扫描件或影印件</w:t>
            </w:r>
            <w:r>
              <w:rPr>
                <w:rFonts w:hint="eastAsia" w:ascii="仿宋" w:hAnsi="仿宋" w:eastAsia="仿宋" w:cs="仿宋"/>
                <w:color w:val="000000"/>
                <w:sz w:val="24"/>
                <w:szCs w:val="24"/>
                <w:lang w:eastAsia="zh-CN"/>
              </w:rPr>
              <w:t>。</w:t>
            </w:r>
          </w:p>
        </w:tc>
      </w:tr>
      <w:tr>
        <w:tblPrEx>
          <w:tblCellMar>
            <w:top w:w="0" w:type="dxa"/>
            <w:left w:w="108" w:type="dxa"/>
            <w:bottom w:w="0" w:type="dxa"/>
            <w:right w:w="108" w:type="dxa"/>
          </w:tblCellMar>
        </w:tblPrEx>
        <w:trPr>
          <w:gridAfter w:val="1"/>
          <w:wAfter w:w="54" w:type="dxa"/>
          <w:trHeight w:val="28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pStyle w:val="33"/>
              <w:numPr>
                <w:ilvl w:val="0"/>
                <w:numId w:val="7"/>
              </w:numPr>
              <w:spacing w:line="360" w:lineRule="auto"/>
              <w:ind w:firstLineChars="0"/>
              <w:jc w:val="center"/>
              <w:rPr>
                <w:rFonts w:hint="eastAsia" w:ascii="仿宋" w:hAnsi="仿宋" w:eastAsia="仿宋" w:cs="仿宋"/>
                <w:sz w:val="24"/>
                <w:szCs w:val="24"/>
              </w:rPr>
            </w:pPr>
          </w:p>
        </w:tc>
        <w:tc>
          <w:tcPr>
            <w:tcW w:w="180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售后服务与相关保障措施</w:t>
            </w:r>
          </w:p>
          <w:p>
            <w:pPr>
              <w:snapToGrid w:val="0"/>
              <w:spacing w:line="400" w:lineRule="exact"/>
              <w:jc w:val="center"/>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rPr>
              <w:t>分）</w:t>
            </w:r>
          </w:p>
        </w:tc>
        <w:tc>
          <w:tcPr>
            <w:tcW w:w="576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1.售后实施团队须提供不少于1名售后支持工程师进行后续服务</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材料提供完整得</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分，否则不得分。</w:t>
            </w:r>
          </w:p>
          <w:p>
            <w:pPr>
              <w:snapToGrid w:val="0"/>
              <w:spacing w:line="4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2.根据投标人提供的整体售后服务方案的完善性、详尽程度进行综合评分，方案内容应包含维保期运维方案、维护人员配置（包括设有专业的运维人员、维护力量）、用户培训计划、故障响应时间等内容。</w:t>
            </w:r>
          </w:p>
          <w:p>
            <w:pPr>
              <w:snapToGrid w:val="0"/>
              <w:spacing w:line="400" w:lineRule="exact"/>
              <w:jc w:val="left"/>
              <w:rPr>
                <w:rFonts w:hint="eastAsia" w:ascii="仿宋" w:hAnsi="仿宋" w:eastAsia="仿宋" w:cs="仿宋"/>
                <w:sz w:val="24"/>
                <w:szCs w:val="24"/>
              </w:rPr>
            </w:pPr>
            <w:r>
              <w:rPr>
                <w:rFonts w:hint="eastAsia" w:ascii="仿宋" w:hAnsi="仿宋" w:eastAsia="仿宋" w:cs="仿宋"/>
                <w:color w:val="000000"/>
                <w:sz w:val="24"/>
                <w:szCs w:val="24"/>
              </w:rPr>
              <w:t>方案全面完整、可操作性强的，得</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分；方案基本完整，具有可操作性的，得</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分；方案有待完善的，得1分；方案不合理或未提供的，不得分。</w:t>
            </w:r>
          </w:p>
        </w:tc>
      </w:tr>
    </w:tbl>
    <w:p>
      <w:pPr>
        <w:widowControl/>
        <w:adjustRightInd w:val="0"/>
        <w:snapToGrid w:val="0"/>
        <w:spacing w:line="360" w:lineRule="auto"/>
        <w:rPr>
          <w:rFonts w:ascii="宋体" w:hAnsi="宋体" w:cs="Calibri"/>
          <w:b/>
          <w:bCs/>
          <w:color w:val="000000"/>
          <w:kern w:val="0"/>
          <w:szCs w:val="21"/>
          <w:shd w:val="clear" w:color="auto" w:fill="FFFFFF"/>
        </w:rPr>
      </w:pPr>
    </w:p>
    <w:p>
      <w:pPr>
        <w:widowControl/>
        <w:adjustRightInd w:val="0"/>
        <w:snapToGrid w:val="0"/>
        <w:spacing w:line="360" w:lineRule="auto"/>
        <w:ind w:firstLine="562" w:firstLineChars="200"/>
        <w:rPr>
          <w:rFonts w:hint="eastAsia" w:ascii="宋体" w:hAnsi="宋体" w:eastAsia="宋体" w:cs="Calibri"/>
          <w:color w:val="333333"/>
          <w:kern w:val="0"/>
          <w:szCs w:val="21"/>
          <w:lang w:eastAsia="zh-CN"/>
        </w:rPr>
      </w:pPr>
      <w:r>
        <w:rPr>
          <w:rFonts w:hint="eastAsia" w:ascii="宋体" w:hAnsi="宋体" w:cs="Calibri"/>
          <w:b/>
          <w:bCs/>
          <w:color w:val="000000"/>
          <w:kern w:val="0"/>
          <w:szCs w:val="21"/>
          <w:shd w:val="clear" w:color="auto" w:fill="FFFFFF"/>
        </w:rPr>
        <w:t>高分优先原则。</w:t>
      </w:r>
      <w:r>
        <w:rPr>
          <w:rFonts w:hint="eastAsia" w:ascii="宋体" w:hAnsi="宋体" w:cs="Calibri"/>
          <w:color w:val="000000"/>
          <w:kern w:val="0"/>
          <w:szCs w:val="21"/>
          <w:shd w:val="clear" w:color="auto" w:fill="FFFFFF"/>
        </w:rPr>
        <w:t>衡量投标文件满足</w:t>
      </w:r>
      <w:r>
        <w:rPr>
          <w:rFonts w:hint="eastAsia" w:ascii="宋体" w:hAnsi="宋体" w:cs="Calibri"/>
          <w:color w:val="000000"/>
          <w:kern w:val="0"/>
          <w:szCs w:val="21"/>
          <w:shd w:val="clear" w:color="auto" w:fill="FFFFFF"/>
          <w:lang w:eastAsia="zh-CN"/>
        </w:rPr>
        <w:t>磋商文件</w:t>
      </w:r>
      <w:r>
        <w:rPr>
          <w:rFonts w:hint="eastAsia" w:ascii="宋体" w:hAnsi="宋体" w:cs="Calibri"/>
          <w:color w:val="000000"/>
          <w:kern w:val="0"/>
          <w:szCs w:val="21"/>
          <w:shd w:val="clear" w:color="auto" w:fill="FFFFFF"/>
        </w:rPr>
        <w:t>规定各项评审标准的程度，折算为综合得分分值，依据每个投标人的综合得分由高到低，依次确定排名顺序。</w:t>
      </w:r>
      <w:r>
        <w:rPr>
          <w:rFonts w:hint="eastAsia" w:ascii="宋体" w:hAnsi="宋体" w:cs="Calibri"/>
          <w:color w:val="000000"/>
          <w:kern w:val="0"/>
          <w:szCs w:val="21"/>
          <w:shd w:val="clear" w:color="auto" w:fill="FFFFFF"/>
          <w:lang w:eastAsia="zh-CN"/>
        </w:rPr>
        <w:t>若综合得分相同，则按报价分</w:t>
      </w:r>
      <w:r>
        <w:rPr>
          <w:rFonts w:hint="eastAsia" w:ascii="宋体" w:hAnsi="宋体" w:cs="Calibri"/>
          <w:color w:val="000000"/>
          <w:kern w:val="0"/>
          <w:szCs w:val="21"/>
          <w:shd w:val="clear" w:color="auto" w:fill="FFFFFF"/>
        </w:rPr>
        <w:t>由高到低依次确定排名顺序</w:t>
      </w:r>
      <w:r>
        <w:rPr>
          <w:rFonts w:hint="eastAsia" w:ascii="宋体" w:hAnsi="宋体" w:cs="Calibri"/>
          <w:color w:val="000000"/>
          <w:kern w:val="0"/>
          <w:szCs w:val="21"/>
          <w:shd w:val="clear" w:color="auto" w:fill="FFFFFF"/>
          <w:lang w:eastAsia="zh-CN"/>
        </w:rPr>
        <w:t>。</w:t>
      </w:r>
      <w:r>
        <w:rPr>
          <w:rFonts w:hint="eastAsia" w:ascii="宋体" w:hAnsi="宋体" w:cs="Calibri"/>
          <w:color w:val="000000"/>
          <w:kern w:val="0"/>
          <w:szCs w:val="21"/>
          <w:shd w:val="clear" w:color="auto" w:fill="FFFFFF"/>
        </w:rPr>
        <w:t>满分为100分（数值计算结果均保留两位小数，第三位四舍五入）</w:t>
      </w:r>
      <w:r>
        <w:rPr>
          <w:rFonts w:hint="eastAsia" w:ascii="宋体" w:hAnsi="宋体" w:cs="Calibri"/>
          <w:color w:val="000000"/>
          <w:kern w:val="0"/>
          <w:szCs w:val="21"/>
          <w:shd w:val="clear" w:color="auto" w:fill="FFFFFF"/>
          <w:lang w:eastAsia="zh-CN"/>
        </w:rPr>
        <w:t>。</w:t>
      </w:r>
    </w:p>
    <w:p>
      <w:pPr>
        <w:pStyle w:val="12"/>
        <w:adjustRightInd w:val="0"/>
        <w:snapToGrid w:val="0"/>
        <w:spacing w:line="460" w:lineRule="exact"/>
        <w:ind w:firstLine="560"/>
        <w:rPr>
          <w:rFonts w:ascii="仿宋_GB2312" w:hAnsi="楷体" w:eastAsia="仿宋_GB2312"/>
          <w:spacing w:val="0"/>
          <w:sz w:val="28"/>
          <w:szCs w:val="28"/>
        </w:rPr>
      </w:pPr>
    </w:p>
    <w:p>
      <w:pPr>
        <w:jc w:val="center"/>
        <w:rPr>
          <w:rFonts w:ascii="华文中宋" w:hAnsi="华文中宋" w:eastAsia="华文中宋"/>
          <w:b/>
          <w:sz w:val="36"/>
          <w:szCs w:val="36"/>
        </w:rPr>
      </w:pPr>
      <w:r>
        <w:rPr>
          <w:rFonts w:hint="eastAsia"/>
        </w:rPr>
        <w:br w:type="page"/>
      </w:r>
      <w:r>
        <w:rPr>
          <w:rFonts w:hint="eastAsia" w:ascii="华文中宋" w:hAnsi="华文中宋" w:eastAsia="华文中宋"/>
          <w:b/>
          <w:sz w:val="36"/>
          <w:szCs w:val="36"/>
        </w:rPr>
        <w:t xml:space="preserve">第七章  </w:t>
      </w:r>
      <w:bookmarkStart w:id="112" w:name="_Toc403987220"/>
      <w:r>
        <w:rPr>
          <w:rFonts w:hint="eastAsia" w:ascii="华文中宋" w:hAnsi="华文中宋" w:eastAsia="华文中宋"/>
          <w:b/>
          <w:sz w:val="36"/>
          <w:szCs w:val="36"/>
        </w:rPr>
        <w:t>响应文件格式</w:t>
      </w:r>
      <w:bookmarkEnd w:id="111"/>
      <w:bookmarkEnd w:id="112"/>
    </w:p>
    <w:p>
      <w:pPr>
        <w:jc w:val="center"/>
        <w:rPr>
          <w:rFonts w:hAnsi="宋体"/>
          <w:b/>
          <w:sz w:val="72"/>
        </w:rPr>
      </w:pPr>
      <w:bookmarkStart w:id="113" w:name="_Hlt26671244"/>
      <w:bookmarkEnd w:id="113"/>
      <w:bookmarkStart w:id="114" w:name="_Hlt26955039"/>
      <w:bookmarkEnd w:id="114"/>
      <w:bookmarkStart w:id="115" w:name="_Toc26554094"/>
      <w:bookmarkStart w:id="116" w:name="_Toc120614282"/>
      <w:bookmarkStart w:id="117" w:name="_Toc49090576"/>
    </w:p>
    <w:p>
      <w:pPr>
        <w:jc w:val="center"/>
        <w:rPr>
          <w:rFonts w:hAnsi="宋体"/>
          <w:b/>
          <w:sz w:val="72"/>
        </w:rPr>
      </w:pPr>
      <w:r>
        <w:rPr>
          <w:rFonts w:hint="eastAsia" w:hAnsi="宋体"/>
          <w:b/>
          <w:sz w:val="72"/>
        </w:rPr>
        <w:t>响  应  文  件</w:t>
      </w:r>
    </w:p>
    <w:p>
      <w:pPr>
        <w:jc w:val="center"/>
        <w:rPr>
          <w:rFonts w:hAnsi="宋体"/>
          <w:b/>
          <w:sz w:val="44"/>
          <w:szCs w:val="44"/>
        </w:rPr>
      </w:pPr>
    </w:p>
    <w:p>
      <w:pPr>
        <w:jc w:val="center"/>
        <w:rPr>
          <w:rFonts w:hAnsi="宋体"/>
          <w:b/>
          <w:sz w:val="36"/>
        </w:rPr>
      </w:pPr>
    </w:p>
    <w:p>
      <w:pPr>
        <w:jc w:val="center"/>
        <w:rPr>
          <w:rFonts w:hAnsi="宋体"/>
          <w:b/>
          <w:sz w:val="36"/>
        </w:rPr>
      </w:pPr>
    </w:p>
    <w:p>
      <w:pPr>
        <w:jc w:val="center"/>
        <w:rPr>
          <w:rFonts w:hAnsi="宋体"/>
          <w:b/>
          <w:sz w:val="36"/>
        </w:rPr>
      </w:pPr>
    </w:p>
    <w:p>
      <w:pPr>
        <w:ind w:left="1016" w:firstLine="1084" w:firstLineChars="300"/>
        <w:rPr>
          <w:rFonts w:hAnsi="宋体"/>
          <w:b/>
          <w:sz w:val="36"/>
        </w:rPr>
      </w:pPr>
      <w:r>
        <w:rPr>
          <w:rFonts w:hint="eastAsia" w:hAnsi="宋体"/>
          <w:b/>
          <w:sz w:val="36"/>
        </w:rPr>
        <w:t>项 目 名 称：</w:t>
      </w:r>
      <w:r>
        <w:rPr>
          <w:rFonts w:hint="eastAsia" w:hAnsi="宋体"/>
          <w:b/>
          <w:sz w:val="36"/>
          <w:u w:val="single"/>
        </w:rPr>
        <w:t xml:space="preserve">               </w:t>
      </w:r>
    </w:p>
    <w:p>
      <w:pPr>
        <w:ind w:left="1016" w:firstLine="1084" w:firstLineChars="300"/>
        <w:rPr>
          <w:rFonts w:hAnsi="宋体"/>
          <w:b/>
          <w:sz w:val="36"/>
          <w:u w:val="single"/>
        </w:rPr>
      </w:pPr>
      <w:r>
        <w:rPr>
          <w:rFonts w:hint="eastAsia" w:hAnsi="宋体"/>
          <w:b/>
          <w:sz w:val="36"/>
        </w:rPr>
        <w:t>项 目 编 号：</w:t>
      </w:r>
      <w:r>
        <w:rPr>
          <w:rFonts w:hint="eastAsia" w:hAnsi="宋体"/>
          <w:b/>
          <w:sz w:val="36"/>
          <w:u w:val="single"/>
        </w:rPr>
        <w:t xml:space="preserve">               </w:t>
      </w:r>
    </w:p>
    <w:p>
      <w:pPr>
        <w:ind w:left="1680" w:firstLine="420"/>
        <w:rPr>
          <w:rFonts w:hAnsi="宋体"/>
          <w:b/>
          <w:sz w:val="36"/>
          <w:u w:val="single"/>
        </w:rPr>
      </w:pPr>
      <w:r>
        <w:rPr>
          <w:rFonts w:hint="eastAsia" w:hAnsi="宋体"/>
          <w:b/>
          <w:sz w:val="36"/>
        </w:rPr>
        <w:t>供应商名称 ：</w:t>
      </w:r>
      <w:r>
        <w:rPr>
          <w:rFonts w:hint="eastAsia" w:hAnsi="宋体"/>
          <w:b/>
          <w:sz w:val="36"/>
          <w:u w:val="single"/>
        </w:rPr>
        <w:t xml:space="preserve">               </w:t>
      </w:r>
      <w:r>
        <w:rPr>
          <w:rFonts w:hint="eastAsia" w:hAnsi="宋体"/>
          <w:b/>
          <w:sz w:val="36"/>
        </w:rPr>
        <w:t>（签章）</w:t>
      </w:r>
    </w:p>
    <w:p>
      <w:pPr>
        <w:ind w:left="1680" w:firstLine="420"/>
        <w:rPr>
          <w:rFonts w:hAnsi="宋体"/>
          <w:b/>
          <w:sz w:val="36"/>
        </w:rPr>
      </w:pPr>
      <w:r>
        <w:rPr>
          <w:rFonts w:hint="eastAsia" w:hAnsi="宋体"/>
          <w:b/>
          <w:sz w:val="36"/>
        </w:rPr>
        <w:t>日      期 ：</w:t>
      </w:r>
      <w:r>
        <w:rPr>
          <w:rFonts w:hint="eastAsia" w:hAnsi="宋体"/>
          <w:b/>
          <w:sz w:val="36"/>
          <w:u w:val="single"/>
        </w:rPr>
        <w:t xml:space="preserve">               </w:t>
      </w:r>
    </w:p>
    <w:bookmarkEnd w:id="115"/>
    <w:bookmarkEnd w:id="116"/>
    <w:bookmarkEnd w:id="117"/>
    <w:p>
      <w:pPr>
        <w:rPr>
          <w:rFonts w:hAnsi="宋体"/>
          <w:b/>
          <w:sz w:val="30"/>
          <w:szCs w:val="30"/>
        </w:rPr>
      </w:pPr>
      <w:r>
        <w:rPr>
          <w:rFonts w:hint="eastAsia" w:hAnsi="宋体"/>
          <w:b/>
          <w:sz w:val="30"/>
          <w:szCs w:val="30"/>
        </w:rPr>
        <w:t xml:space="preserve"> </w:t>
      </w:r>
    </w:p>
    <w:p>
      <w:pPr>
        <w:spacing w:line="440" w:lineRule="exact"/>
        <w:jc w:val="center"/>
        <w:rPr>
          <w:rFonts w:hAnsi="宋体"/>
          <w:b/>
          <w:bCs/>
          <w:sz w:val="32"/>
          <w:szCs w:val="32"/>
        </w:rPr>
      </w:pPr>
      <w:r>
        <w:rPr>
          <w:rFonts w:hAnsi="宋体"/>
          <w:b/>
          <w:bCs/>
          <w:sz w:val="32"/>
          <w:szCs w:val="32"/>
        </w:rPr>
        <w:br w:type="page"/>
      </w:r>
      <w:r>
        <w:rPr>
          <w:rFonts w:hint="eastAsia" w:hAnsi="宋体"/>
          <w:b/>
          <w:bCs/>
          <w:sz w:val="32"/>
          <w:szCs w:val="32"/>
        </w:rPr>
        <w:t>响应文件目录</w:t>
      </w:r>
    </w:p>
    <w:p>
      <w:pPr>
        <w:snapToGrid w:val="0"/>
        <w:spacing w:before="50" w:after="50"/>
        <w:rPr>
          <w:rFonts w:hAnsi="宋体"/>
          <w:sz w:val="24"/>
          <w:szCs w:val="24"/>
        </w:rPr>
      </w:pPr>
    </w:p>
    <w:p>
      <w:pPr>
        <w:tabs>
          <w:tab w:val="left" w:pos="5580"/>
        </w:tabs>
        <w:adjustRightInd w:val="0"/>
        <w:snapToGrid w:val="0"/>
        <w:spacing w:line="360" w:lineRule="auto"/>
        <w:jc w:val="left"/>
        <w:rPr>
          <w:rFonts w:hAnsi="宋体"/>
          <w:b/>
          <w:sz w:val="24"/>
          <w:szCs w:val="24"/>
        </w:rPr>
      </w:pPr>
      <w:r>
        <w:rPr>
          <w:rFonts w:hint="eastAsia" w:hAnsi="宋体"/>
          <w:b/>
          <w:sz w:val="24"/>
          <w:szCs w:val="24"/>
        </w:rPr>
        <w:t>一、开标一览表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二、资格性和符合性检查响应对照表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三、资信证明文件</w:t>
      </w:r>
    </w:p>
    <w:p>
      <w:pPr>
        <w:tabs>
          <w:tab w:val="left" w:pos="5580"/>
        </w:tabs>
        <w:adjustRightInd w:val="0"/>
        <w:snapToGrid w:val="0"/>
        <w:spacing w:line="360" w:lineRule="auto"/>
        <w:jc w:val="left"/>
        <w:rPr>
          <w:rFonts w:hAnsi="宋体"/>
          <w:b/>
          <w:sz w:val="24"/>
          <w:szCs w:val="24"/>
        </w:rPr>
      </w:pPr>
      <w:r>
        <w:rPr>
          <w:rFonts w:hint="eastAsia" w:hAnsi="宋体"/>
          <w:b/>
          <w:sz w:val="24"/>
          <w:szCs w:val="24"/>
        </w:rPr>
        <w:t>四、磋商函格式</w:t>
      </w:r>
    </w:p>
    <w:p>
      <w:pPr>
        <w:adjustRightInd w:val="0"/>
        <w:snapToGrid w:val="0"/>
        <w:spacing w:line="360" w:lineRule="auto"/>
        <w:rPr>
          <w:rFonts w:ascii="宋体" w:hAnsi="宋体"/>
          <w:b/>
          <w:sz w:val="24"/>
          <w:szCs w:val="24"/>
        </w:rPr>
      </w:pPr>
      <w:r>
        <w:rPr>
          <w:rFonts w:hint="eastAsia" w:ascii="宋体" w:hAnsi="宋体"/>
          <w:b/>
          <w:sz w:val="24"/>
          <w:szCs w:val="24"/>
        </w:rPr>
        <w:t>五、投标人需要提供的其它材料</w:t>
      </w:r>
    </w:p>
    <w:p>
      <w:pPr>
        <w:tabs>
          <w:tab w:val="left" w:pos="5580"/>
        </w:tabs>
        <w:spacing w:line="480" w:lineRule="exact"/>
        <w:jc w:val="left"/>
        <w:rPr>
          <w:rFonts w:hAnsi="宋体"/>
          <w:b/>
          <w:sz w:val="24"/>
          <w:szCs w:val="24"/>
        </w:rPr>
      </w:pPr>
    </w:p>
    <w:p>
      <w:pPr>
        <w:jc w:val="center"/>
        <w:rPr>
          <w:rFonts w:hAnsi="宋体"/>
          <w:sz w:val="24"/>
        </w:rPr>
      </w:pPr>
      <w:r>
        <w:rPr>
          <w:rFonts w:hAnsi="宋体"/>
          <w:sz w:val="24"/>
        </w:rPr>
        <w:br w:type="page"/>
      </w:r>
    </w:p>
    <w:p>
      <w:pPr>
        <w:rPr>
          <w:rFonts w:ascii="华文中宋" w:hAnsi="华文中宋" w:eastAsia="华文中宋"/>
          <w:b/>
          <w:spacing w:val="-6"/>
          <w:szCs w:val="28"/>
        </w:rPr>
      </w:pPr>
    </w:p>
    <w:p>
      <w:pPr>
        <w:snapToGrid w:val="0"/>
        <w:spacing w:before="50" w:after="50" w:line="360" w:lineRule="auto"/>
        <w:jc w:val="center"/>
        <w:rPr>
          <w:rFonts w:ascii="华文中宋" w:hAnsi="华文中宋" w:eastAsia="华文中宋"/>
          <w:b/>
          <w:spacing w:val="-6"/>
          <w:szCs w:val="28"/>
        </w:rPr>
      </w:pPr>
      <w:r>
        <w:rPr>
          <w:rFonts w:hint="eastAsia" w:ascii="华文中宋" w:hAnsi="华文中宋" w:eastAsia="华文中宋"/>
          <w:b/>
          <w:spacing w:val="-6"/>
          <w:szCs w:val="28"/>
        </w:rPr>
        <w:t>一、开标一览表</w:t>
      </w:r>
    </w:p>
    <w:p>
      <w:pPr>
        <w:snapToGrid w:val="0"/>
        <w:spacing w:before="50" w:after="50" w:line="360" w:lineRule="auto"/>
        <w:rPr>
          <w:rFonts w:ascii="宋体" w:hAnsi="宋体"/>
          <w:spacing w:val="-6"/>
          <w:sz w:val="24"/>
          <w:szCs w:val="24"/>
        </w:rPr>
      </w:pPr>
      <w:r>
        <w:rPr>
          <w:rFonts w:hint="eastAsia" w:ascii="宋体" w:hAnsi="宋体"/>
          <w:spacing w:val="-6"/>
          <w:sz w:val="24"/>
          <w:szCs w:val="24"/>
        </w:rPr>
        <w:t>招标编号：</w:t>
      </w:r>
    </w:p>
    <w:p>
      <w:pPr>
        <w:snapToGrid w:val="0"/>
        <w:spacing w:before="50" w:after="50" w:line="360" w:lineRule="auto"/>
        <w:rPr>
          <w:rFonts w:ascii="宋体" w:hAnsi="宋体"/>
          <w:spacing w:val="-6"/>
          <w:sz w:val="24"/>
          <w:szCs w:val="24"/>
        </w:rPr>
      </w:pPr>
      <w:r>
        <w:rPr>
          <w:rFonts w:hint="eastAsia" w:ascii="宋体" w:hAnsi="宋体"/>
          <w:spacing w:val="-6"/>
          <w:sz w:val="24"/>
          <w:szCs w:val="24"/>
        </w:rPr>
        <w:t>投标人名称：</w:t>
      </w:r>
      <w:r>
        <w:rPr>
          <w:rFonts w:hint="eastAsia" w:ascii="宋体" w:hAnsi="宋体"/>
          <w:spacing w:val="-6"/>
          <w:sz w:val="24"/>
          <w:szCs w:val="24"/>
          <w:u w:val="single"/>
        </w:rPr>
        <w:t xml:space="preserve">                     </w:t>
      </w:r>
      <w:r>
        <w:rPr>
          <w:rFonts w:hint="eastAsia" w:ascii="宋体" w:hAnsi="宋体"/>
          <w:spacing w:val="-6"/>
          <w:sz w:val="24"/>
          <w:szCs w:val="24"/>
        </w:rPr>
        <w:t xml:space="preserve">                           </w:t>
      </w:r>
    </w:p>
    <w:tbl>
      <w:tblPr>
        <w:tblStyle w:val="27"/>
        <w:tblW w:w="95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62"/>
        <w:gridCol w:w="63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2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spacing w:val="-6"/>
                <w:sz w:val="24"/>
                <w:szCs w:val="24"/>
              </w:rPr>
            </w:pPr>
            <w:r>
              <w:rPr>
                <w:rFonts w:hint="eastAsia" w:ascii="宋体" w:hAnsi="宋体"/>
                <w:b/>
                <w:spacing w:val="-6"/>
                <w:sz w:val="24"/>
                <w:szCs w:val="24"/>
              </w:rPr>
              <w:t>项目名称</w:t>
            </w:r>
          </w:p>
        </w:tc>
        <w:tc>
          <w:tcPr>
            <w:tcW w:w="63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spacing w:val="-6"/>
                <w:sz w:val="24"/>
                <w:szCs w:val="24"/>
              </w:rPr>
            </w:pPr>
            <w:r>
              <w:rPr>
                <w:rFonts w:hint="eastAsia" w:ascii="宋体" w:hAnsi="宋体"/>
                <w:b/>
                <w:spacing w:val="-6"/>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1" w:hRule="atLeast"/>
          <w:jc w:val="center"/>
        </w:trPr>
        <w:tc>
          <w:tcPr>
            <w:tcW w:w="3262" w:type="dxa"/>
            <w:tcBorders>
              <w:top w:val="single" w:color="auto" w:sz="4" w:space="0"/>
              <w:left w:val="single" w:color="auto" w:sz="4" w:space="0"/>
              <w:right w:val="single" w:color="auto" w:sz="4" w:space="0"/>
            </w:tcBorders>
            <w:vAlign w:val="center"/>
          </w:tcPr>
          <w:p>
            <w:pPr>
              <w:jc w:val="center"/>
              <w:rPr>
                <w:rFonts w:hint="eastAsia" w:eastAsia="宋体"/>
                <w:bCs/>
                <w:sz w:val="24"/>
                <w:szCs w:val="24"/>
                <w:lang w:eastAsia="zh-CN"/>
              </w:rPr>
            </w:pPr>
            <w:r>
              <w:rPr>
                <w:rFonts w:hint="eastAsia"/>
                <w:lang w:eastAsia="zh-CN"/>
              </w:rPr>
              <w:t>皖南医学院网站内容管理系统购置项目</w:t>
            </w:r>
          </w:p>
        </w:tc>
        <w:tc>
          <w:tcPr>
            <w:tcW w:w="6329" w:type="dxa"/>
            <w:tcBorders>
              <w:top w:val="single" w:color="auto" w:sz="4" w:space="0"/>
              <w:left w:val="single" w:color="auto" w:sz="4" w:space="0"/>
              <w:right w:val="single" w:color="auto" w:sz="4" w:space="0"/>
            </w:tcBorders>
            <w:vAlign w:val="center"/>
          </w:tcPr>
          <w:p>
            <w:pPr>
              <w:pStyle w:val="26"/>
              <w:ind w:firstLine="0" w:firstLineChars="0"/>
              <w:rPr>
                <w:rFonts w:hint="eastAsia" w:ascii="仿宋" w:hAnsi="仿宋" w:eastAsia="仿宋"/>
                <w:sz w:val="28"/>
                <w:szCs w:val="28"/>
                <w:highlight w:val="none"/>
                <w:u w:val="single"/>
                <w:lang w:val="en-US" w:eastAsia="zh-CN"/>
              </w:rPr>
            </w:pPr>
            <w:r>
              <w:rPr>
                <w:rFonts w:hint="eastAsia" w:ascii="仿宋" w:hAnsi="仿宋" w:eastAsia="仿宋"/>
                <w:sz w:val="28"/>
                <w:szCs w:val="28"/>
                <w:highlight w:val="none"/>
                <w:u w:val="single"/>
                <w:lang w:val="en-US" w:eastAsia="zh-CN"/>
              </w:rPr>
              <w:t xml:space="preserve">                   元（大写）</w:t>
            </w:r>
          </w:p>
          <w:p>
            <w:pPr>
              <w:pStyle w:val="21"/>
              <w:rPr>
                <w:rFonts w:hint="eastAsia" w:ascii="仿宋" w:hAnsi="仿宋" w:eastAsia="仿宋"/>
                <w:sz w:val="28"/>
                <w:szCs w:val="28"/>
                <w:highlight w:val="none"/>
                <w:u w:val="single"/>
                <w:lang w:val="en-US" w:eastAsia="zh-CN"/>
              </w:rPr>
            </w:pPr>
            <w:r>
              <w:rPr>
                <w:rFonts w:hint="eastAsia" w:ascii="仿宋" w:hAnsi="仿宋" w:eastAsia="仿宋"/>
                <w:sz w:val="28"/>
                <w:szCs w:val="28"/>
                <w:highlight w:val="none"/>
                <w:u w:val="single"/>
                <w:lang w:val="en-US" w:eastAsia="zh-CN"/>
              </w:rPr>
              <w:t xml:space="preserve">                  元（小写）</w:t>
            </w:r>
          </w:p>
          <w:p>
            <w:pPr>
              <w:pStyle w:val="26"/>
              <w:ind w:firstLine="0" w:firstLineChars="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2" w:hRule="atLeast"/>
          <w:jc w:val="center"/>
        </w:trPr>
        <w:tc>
          <w:tcPr>
            <w:tcW w:w="959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pacing w:val="-6"/>
                <w:sz w:val="24"/>
                <w:szCs w:val="24"/>
              </w:rPr>
            </w:pPr>
            <w:r>
              <w:rPr>
                <w:rFonts w:hint="eastAsia"/>
              </w:rPr>
              <w:t>备注：</w:t>
            </w:r>
          </w:p>
        </w:tc>
      </w:tr>
    </w:tbl>
    <w:p>
      <w:pPr>
        <w:snapToGrid w:val="0"/>
        <w:spacing w:before="50" w:after="50" w:line="360" w:lineRule="auto"/>
        <w:jc w:val="left"/>
        <w:rPr>
          <w:rFonts w:ascii="宋体" w:hAnsi="宋体"/>
          <w:spacing w:val="-6"/>
          <w:sz w:val="24"/>
          <w:szCs w:val="24"/>
        </w:rPr>
      </w:pPr>
    </w:p>
    <w:p>
      <w:pPr>
        <w:snapToGrid w:val="0"/>
        <w:spacing w:before="50" w:after="50" w:line="360" w:lineRule="auto"/>
        <w:jc w:val="left"/>
        <w:rPr>
          <w:rFonts w:ascii="宋体" w:hAnsi="宋体"/>
          <w:spacing w:val="-6"/>
          <w:sz w:val="24"/>
          <w:szCs w:val="24"/>
        </w:rPr>
      </w:pPr>
      <w:r>
        <w:rPr>
          <w:rFonts w:hint="eastAsia" w:ascii="宋体" w:hAnsi="宋体"/>
          <w:spacing w:val="-6"/>
          <w:sz w:val="24"/>
          <w:szCs w:val="24"/>
        </w:rPr>
        <w:t>注: 1、实际费用据实结算。</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2、报价不得涂改否则其投标作无效标处理。</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3、</w:t>
      </w:r>
      <w:r>
        <w:rPr>
          <w:rFonts w:hint="eastAsia" w:ascii="宋体" w:hAnsi="宋体"/>
          <w:sz w:val="24"/>
          <w:szCs w:val="24"/>
        </w:rPr>
        <w:t>磋商报价</w:t>
      </w:r>
      <w:r>
        <w:rPr>
          <w:rFonts w:hint="eastAsia" w:ascii="宋体" w:hAnsi="宋体"/>
          <w:spacing w:val="-6"/>
          <w:sz w:val="24"/>
          <w:szCs w:val="24"/>
        </w:rPr>
        <w:t>应包括</w:t>
      </w:r>
      <w:r>
        <w:rPr>
          <w:rFonts w:hint="eastAsia" w:ascii="宋体" w:hAnsi="宋体"/>
          <w:sz w:val="24"/>
          <w:szCs w:val="24"/>
        </w:rPr>
        <w:t>所需人工费、材料费、其他（保险费，以及合同明示或暗示的风险、责任和义务等）费，以及管理费、利润和规费、税金等一切费用</w:t>
      </w:r>
      <w:r>
        <w:rPr>
          <w:rFonts w:hint="eastAsia" w:ascii="宋体" w:hAnsi="宋体"/>
          <w:spacing w:val="-6"/>
          <w:sz w:val="24"/>
          <w:szCs w:val="24"/>
        </w:rPr>
        <w:t>。</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4、此表在不改变格式要求的情况下，可自行制作。</w:t>
      </w:r>
    </w:p>
    <w:p>
      <w:pPr>
        <w:snapToGrid w:val="0"/>
        <w:spacing w:before="50" w:after="50" w:line="360" w:lineRule="auto"/>
        <w:ind w:left="-61" w:leftChars="-72" w:right="-1089" w:rightChars="-389" w:hanging="141" w:hangingChars="62"/>
        <w:rPr>
          <w:rFonts w:ascii="宋体" w:hAnsi="宋体"/>
          <w:spacing w:val="-6"/>
          <w:sz w:val="24"/>
          <w:szCs w:val="24"/>
        </w:rPr>
      </w:pPr>
      <w:r>
        <w:rPr>
          <w:rFonts w:hint="eastAsia" w:ascii="宋体" w:hAnsi="宋体"/>
          <w:spacing w:val="-6"/>
          <w:sz w:val="24"/>
          <w:szCs w:val="24"/>
        </w:rPr>
        <w:t>授权代表签字：</w:t>
      </w:r>
    </w:p>
    <w:p>
      <w:pPr>
        <w:jc w:val="center"/>
        <w:rPr>
          <w:rFonts w:hAnsi="宋体"/>
          <w:sz w:val="24"/>
          <w:szCs w:val="24"/>
        </w:rPr>
      </w:pPr>
      <w:r>
        <w:rPr>
          <w:rFonts w:hint="eastAsia" w:ascii="宋体" w:hAnsi="宋体"/>
          <w:spacing w:val="-6"/>
          <w:sz w:val="24"/>
          <w:szCs w:val="24"/>
        </w:rPr>
        <w:t>投标人名称（盖章）：                                 日期：    年   月   日</w:t>
      </w:r>
    </w:p>
    <w:p>
      <w:pPr>
        <w:jc w:val="center"/>
        <w:rPr>
          <w:rStyle w:val="66"/>
          <w:rFonts w:hAnsi="宋体"/>
          <w:color w:val="auto"/>
          <w:sz w:val="24"/>
          <w:szCs w:val="24"/>
        </w:rPr>
      </w:pPr>
    </w:p>
    <w:p>
      <w:pPr>
        <w:rPr>
          <w:rFonts w:ascii="宋体" w:hAnsi="宋体"/>
          <w:spacing w:val="-6"/>
          <w:sz w:val="24"/>
        </w:rPr>
      </w:pPr>
    </w:p>
    <w:p>
      <w:pPr>
        <w:jc w:val="center"/>
        <w:rPr>
          <w:rFonts w:ascii="宋体" w:hAnsi="宋体"/>
          <w:spacing w:val="-6"/>
          <w:sz w:val="24"/>
        </w:rPr>
      </w:pPr>
    </w:p>
    <w:p>
      <w:pPr>
        <w:rPr>
          <w:rStyle w:val="66"/>
          <w:rFonts w:ascii="华文中宋" w:hAnsi="华文中宋" w:eastAsia="华文中宋"/>
          <w:color w:val="auto"/>
          <w:sz w:val="28"/>
          <w:szCs w:val="28"/>
        </w:rPr>
      </w:pPr>
      <w:r>
        <w:rPr>
          <w:rStyle w:val="66"/>
          <w:rFonts w:hint="eastAsia" w:ascii="华文中宋" w:hAnsi="华文中宋" w:eastAsia="华文中宋"/>
          <w:color w:val="auto"/>
          <w:sz w:val="28"/>
          <w:szCs w:val="28"/>
        </w:rPr>
        <w:br w:type="page"/>
      </w:r>
    </w:p>
    <w:p>
      <w:pPr>
        <w:jc w:val="center"/>
        <w:rPr>
          <w:rStyle w:val="66"/>
          <w:rFonts w:ascii="华文中宋" w:hAnsi="华文中宋" w:eastAsia="华文中宋"/>
          <w:color w:val="auto"/>
          <w:sz w:val="28"/>
          <w:szCs w:val="28"/>
        </w:rPr>
      </w:pPr>
      <w:r>
        <w:rPr>
          <w:rStyle w:val="66"/>
          <w:rFonts w:hint="eastAsia" w:ascii="华文中宋" w:hAnsi="华文中宋" w:eastAsia="华文中宋"/>
          <w:color w:val="auto"/>
          <w:sz w:val="28"/>
          <w:szCs w:val="28"/>
        </w:rPr>
        <w:t>二、资格性和符合性检查响应对照表</w:t>
      </w:r>
    </w:p>
    <w:p>
      <w:pPr>
        <w:ind w:firstLine="309"/>
        <w:rPr>
          <w:rFonts w:hAnsi="宋体"/>
          <w:sz w:val="24"/>
          <w:szCs w:val="24"/>
        </w:rPr>
      </w:pPr>
    </w:p>
    <w:p>
      <w:pPr>
        <w:ind w:firstLine="309"/>
        <w:rPr>
          <w:rFonts w:hAnsi="宋体"/>
          <w:sz w:val="24"/>
          <w:szCs w:val="24"/>
        </w:rPr>
      </w:pPr>
      <w:r>
        <w:rPr>
          <w:rFonts w:hint="eastAsia" w:hAnsi="宋体"/>
          <w:sz w:val="24"/>
          <w:szCs w:val="24"/>
        </w:rPr>
        <w:t>供应商全称（加盖公章）：</w:t>
      </w:r>
    </w:p>
    <w:tbl>
      <w:tblPr>
        <w:tblStyle w:val="27"/>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09" w:type="dxa"/>
            <w:vAlign w:val="center"/>
          </w:tcPr>
          <w:p>
            <w:pPr>
              <w:snapToGrid w:val="0"/>
              <w:spacing w:line="240" w:lineRule="atLeast"/>
              <w:jc w:val="center"/>
              <w:rPr>
                <w:rFonts w:hAnsi="宋体"/>
                <w:b/>
                <w:sz w:val="24"/>
                <w:szCs w:val="24"/>
              </w:rPr>
            </w:pPr>
            <w:r>
              <w:rPr>
                <w:rFonts w:hint="eastAsia" w:hAnsi="宋体"/>
                <w:b/>
                <w:sz w:val="24"/>
                <w:szCs w:val="24"/>
              </w:rPr>
              <w:t>序号</w:t>
            </w:r>
          </w:p>
        </w:tc>
        <w:tc>
          <w:tcPr>
            <w:tcW w:w="4678" w:type="dxa"/>
            <w:vAlign w:val="center"/>
          </w:tcPr>
          <w:p>
            <w:pPr>
              <w:snapToGrid w:val="0"/>
              <w:spacing w:line="240" w:lineRule="atLeast"/>
              <w:jc w:val="center"/>
              <w:rPr>
                <w:rFonts w:hAnsi="宋体"/>
                <w:b/>
                <w:sz w:val="24"/>
                <w:szCs w:val="24"/>
              </w:rPr>
            </w:pPr>
            <w:r>
              <w:rPr>
                <w:rFonts w:hint="eastAsia" w:hAnsi="宋体"/>
                <w:b/>
                <w:sz w:val="24"/>
                <w:szCs w:val="24"/>
              </w:rPr>
              <w:t>资格和符合性检查响应内容</w:t>
            </w:r>
          </w:p>
        </w:tc>
        <w:tc>
          <w:tcPr>
            <w:tcW w:w="1842" w:type="dxa"/>
            <w:vAlign w:val="center"/>
          </w:tcPr>
          <w:p>
            <w:pPr>
              <w:snapToGrid w:val="0"/>
              <w:spacing w:line="240" w:lineRule="atLeast"/>
              <w:jc w:val="center"/>
              <w:rPr>
                <w:rFonts w:hAnsi="宋体"/>
                <w:b/>
                <w:sz w:val="24"/>
                <w:szCs w:val="24"/>
              </w:rPr>
            </w:pPr>
            <w:r>
              <w:rPr>
                <w:rFonts w:hint="eastAsia" w:hAnsi="宋体"/>
                <w:b/>
                <w:sz w:val="24"/>
                <w:szCs w:val="24"/>
              </w:rPr>
              <w:t>是否响应</w:t>
            </w:r>
          </w:p>
          <w:p>
            <w:pPr>
              <w:snapToGrid w:val="0"/>
              <w:spacing w:line="240" w:lineRule="atLeast"/>
              <w:jc w:val="center"/>
              <w:rPr>
                <w:rFonts w:hAnsi="宋体"/>
                <w:b/>
                <w:sz w:val="24"/>
                <w:szCs w:val="24"/>
              </w:rPr>
            </w:pPr>
            <w:r>
              <w:rPr>
                <w:rFonts w:hint="eastAsia" w:hAnsi="宋体"/>
                <w:b/>
                <w:sz w:val="24"/>
                <w:szCs w:val="24"/>
              </w:rPr>
              <w:t>（填是或者否）</w:t>
            </w:r>
          </w:p>
        </w:tc>
        <w:tc>
          <w:tcPr>
            <w:tcW w:w="1701" w:type="dxa"/>
            <w:vAlign w:val="center"/>
          </w:tcPr>
          <w:p>
            <w:pPr>
              <w:snapToGrid w:val="0"/>
              <w:spacing w:line="240" w:lineRule="atLeast"/>
              <w:jc w:val="center"/>
              <w:rPr>
                <w:rFonts w:hAnsi="宋体"/>
                <w:b/>
                <w:sz w:val="24"/>
                <w:szCs w:val="24"/>
              </w:rPr>
            </w:pPr>
            <w:r>
              <w:rPr>
                <w:rFonts w:hint="eastAsia" w:hAnsi="宋体"/>
                <w:b/>
                <w:sz w:val="24"/>
                <w:szCs w:val="24"/>
              </w:rPr>
              <w:t>响应文件中的</w:t>
            </w:r>
          </w:p>
          <w:p>
            <w:pPr>
              <w:snapToGrid w:val="0"/>
              <w:spacing w:line="240" w:lineRule="atLeast"/>
              <w:jc w:val="center"/>
              <w:rPr>
                <w:rFonts w:hAnsi="宋体"/>
                <w:b/>
                <w:sz w:val="24"/>
                <w:szCs w:val="24"/>
              </w:rPr>
            </w:pPr>
            <w:r>
              <w:rPr>
                <w:rFonts w:hint="eastAsia" w:hAnsi="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b/>
                <w:sz w:val="24"/>
                <w:szCs w:val="24"/>
              </w:rPr>
            </w:pPr>
            <w:r>
              <w:rPr>
                <w:rFonts w:hint="eastAsia" w:hAnsi="宋体"/>
                <w:sz w:val="24"/>
                <w:szCs w:val="24"/>
              </w:rPr>
              <w:t>1</w:t>
            </w:r>
          </w:p>
        </w:tc>
        <w:tc>
          <w:tcPr>
            <w:tcW w:w="4678" w:type="dxa"/>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1   工商营业执照（复印件</w:t>
            </w:r>
            <w:r>
              <w:rPr>
                <w:rFonts w:hint="eastAsia" w:hAnsi="宋体"/>
                <w:i/>
                <w:iCs/>
                <w:sz w:val="24"/>
                <w:szCs w:val="24"/>
                <w:u w:val="single"/>
              </w:rPr>
              <w:t>，</w:t>
            </w:r>
            <w:r>
              <w:rPr>
                <w:rFonts w:hAnsi="宋体"/>
                <w:i/>
                <w:iCs/>
                <w:sz w:val="24"/>
                <w:szCs w:val="24"/>
                <w:u w:val="single"/>
              </w:rPr>
              <w:t>加盖公章）</w:t>
            </w:r>
          </w:p>
        </w:tc>
        <w:tc>
          <w:tcPr>
            <w:tcW w:w="1842" w:type="dxa"/>
            <w:vAlign w:val="center"/>
          </w:tcPr>
          <w:p>
            <w:pPr>
              <w:jc w:val="center"/>
              <w:rPr>
                <w:rFonts w:hAnsi="宋体"/>
                <w:b/>
                <w:sz w:val="24"/>
                <w:szCs w:val="24"/>
              </w:rPr>
            </w:pPr>
          </w:p>
        </w:tc>
        <w:tc>
          <w:tcPr>
            <w:tcW w:w="1701" w:type="dxa"/>
            <w:vAlign w:val="center"/>
          </w:tcPr>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sz w:val="24"/>
                <w:szCs w:val="24"/>
              </w:rPr>
            </w:pPr>
            <w:r>
              <w:rPr>
                <w:rFonts w:hint="eastAsia" w:hAnsi="宋体"/>
                <w:sz w:val="24"/>
                <w:szCs w:val="24"/>
              </w:rPr>
              <w:t>2</w:t>
            </w:r>
          </w:p>
        </w:tc>
        <w:tc>
          <w:tcPr>
            <w:tcW w:w="4678" w:type="dxa"/>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2   法人授权书（原件</w:t>
            </w:r>
            <w:r>
              <w:rPr>
                <w:rFonts w:hint="eastAsia" w:hAnsi="宋体"/>
                <w:i/>
                <w:iCs/>
                <w:sz w:val="24"/>
                <w:szCs w:val="24"/>
                <w:u w:val="single"/>
              </w:rPr>
              <w:t>，</w:t>
            </w:r>
            <w:r>
              <w:rPr>
                <w:rFonts w:hAnsi="宋体"/>
                <w:i/>
                <w:iCs/>
                <w:sz w:val="24"/>
                <w:szCs w:val="24"/>
                <w:u w:val="single"/>
              </w:rPr>
              <w:t>非法定代表人参与</w:t>
            </w:r>
            <w:r>
              <w:rPr>
                <w:rFonts w:hint="eastAsia" w:hAnsi="宋体"/>
                <w:i/>
                <w:iCs/>
                <w:sz w:val="24"/>
                <w:szCs w:val="24"/>
                <w:u w:val="single"/>
              </w:rPr>
              <w:t>磋商</w:t>
            </w:r>
            <w:r>
              <w:rPr>
                <w:rFonts w:hAnsi="宋体"/>
                <w:i/>
                <w:iCs/>
                <w:sz w:val="24"/>
                <w:szCs w:val="24"/>
                <w:u w:val="single"/>
              </w:rPr>
              <w:t>时必须提供）</w:t>
            </w:r>
          </w:p>
        </w:tc>
        <w:tc>
          <w:tcPr>
            <w:tcW w:w="1842" w:type="dxa"/>
            <w:vAlign w:val="center"/>
          </w:tcPr>
          <w:p>
            <w:pPr>
              <w:jc w:val="center"/>
              <w:rPr>
                <w:rFonts w:hAnsi="宋体"/>
                <w:sz w:val="24"/>
                <w:szCs w:val="24"/>
              </w:rPr>
            </w:pPr>
          </w:p>
        </w:tc>
        <w:tc>
          <w:tcPr>
            <w:tcW w:w="1701"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sz w:val="24"/>
                <w:szCs w:val="24"/>
              </w:rPr>
            </w:pPr>
            <w:r>
              <w:rPr>
                <w:rFonts w:hint="eastAsia" w:hAnsi="宋体"/>
                <w:sz w:val="24"/>
                <w:szCs w:val="24"/>
              </w:rPr>
              <w:t>3</w:t>
            </w:r>
          </w:p>
        </w:tc>
        <w:tc>
          <w:tcPr>
            <w:tcW w:w="4678" w:type="dxa"/>
            <w:vAlign w:val="center"/>
          </w:tcPr>
          <w:p>
            <w:pPr>
              <w:spacing w:line="480" w:lineRule="exact"/>
              <w:rPr>
                <w:rFonts w:hAnsi="宋体"/>
                <w:i/>
                <w:iCs/>
                <w:sz w:val="24"/>
                <w:szCs w:val="24"/>
                <w:u w:val="single"/>
              </w:rPr>
            </w:pPr>
            <w:r>
              <w:rPr>
                <w:rFonts w:hint="eastAsia" w:hAnsi="宋体"/>
                <w:i/>
                <w:iCs/>
                <w:sz w:val="24"/>
                <w:szCs w:val="24"/>
                <w:u w:val="single"/>
              </w:rPr>
              <w:t>文件3</w:t>
            </w:r>
            <w:r>
              <w:rPr>
                <w:rFonts w:hAnsi="宋体"/>
                <w:i/>
                <w:iCs/>
                <w:sz w:val="24"/>
                <w:szCs w:val="24"/>
                <w:u w:val="single"/>
              </w:rPr>
              <w:t xml:space="preserve">  </w:t>
            </w:r>
            <w:r>
              <w:rPr>
                <w:rFonts w:hint="eastAsia" w:hAnsi="宋体"/>
                <w:i/>
                <w:iCs/>
                <w:sz w:val="24"/>
                <w:szCs w:val="24"/>
                <w:u w:val="single"/>
              </w:rPr>
              <w:t xml:space="preserve"> 投标人一般情况表</w:t>
            </w:r>
            <w:r>
              <w:rPr>
                <w:rFonts w:hAnsi="宋体"/>
                <w:i/>
                <w:iCs/>
                <w:sz w:val="24"/>
                <w:szCs w:val="24"/>
                <w:u w:val="single"/>
              </w:rPr>
              <w:t>（原件）</w:t>
            </w:r>
          </w:p>
        </w:tc>
        <w:tc>
          <w:tcPr>
            <w:tcW w:w="1842" w:type="dxa"/>
            <w:vAlign w:val="center"/>
          </w:tcPr>
          <w:p>
            <w:pPr>
              <w:jc w:val="center"/>
              <w:rPr>
                <w:rFonts w:hAnsi="宋体"/>
                <w:sz w:val="24"/>
                <w:szCs w:val="24"/>
              </w:rPr>
            </w:pPr>
          </w:p>
        </w:tc>
        <w:tc>
          <w:tcPr>
            <w:tcW w:w="1701"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709" w:type="dxa"/>
            <w:vAlign w:val="center"/>
          </w:tcPr>
          <w:p>
            <w:pPr>
              <w:jc w:val="center"/>
              <w:rPr>
                <w:rFonts w:hAnsi="宋体"/>
                <w:sz w:val="24"/>
                <w:szCs w:val="24"/>
              </w:rPr>
            </w:pPr>
            <w:r>
              <w:rPr>
                <w:rFonts w:hint="eastAsia" w:hAnsi="宋体"/>
                <w:sz w:val="24"/>
                <w:szCs w:val="24"/>
              </w:rPr>
              <w:t>4</w:t>
            </w:r>
          </w:p>
        </w:tc>
        <w:tc>
          <w:tcPr>
            <w:tcW w:w="4678" w:type="dxa"/>
            <w:vAlign w:val="center"/>
          </w:tcPr>
          <w:p>
            <w:pPr>
              <w:rPr>
                <w:rFonts w:ascii="宋体" w:hAnsi="宋体"/>
                <w:i/>
                <w:iCs/>
                <w:sz w:val="24"/>
                <w:szCs w:val="24"/>
                <w:u w:val="single"/>
              </w:rPr>
            </w:pPr>
            <w:r>
              <w:rPr>
                <w:rFonts w:hint="eastAsia" w:hAnsi="宋体"/>
                <w:i/>
                <w:iCs/>
                <w:sz w:val="24"/>
                <w:szCs w:val="24"/>
              </w:rPr>
              <w:t>磋商文件中的其他实质性要求</w:t>
            </w:r>
          </w:p>
        </w:tc>
        <w:tc>
          <w:tcPr>
            <w:tcW w:w="1842" w:type="dxa"/>
            <w:vAlign w:val="center"/>
          </w:tcPr>
          <w:p>
            <w:pPr>
              <w:jc w:val="center"/>
              <w:rPr>
                <w:rFonts w:hAnsi="宋体"/>
                <w:sz w:val="24"/>
                <w:szCs w:val="24"/>
              </w:rPr>
            </w:pPr>
          </w:p>
        </w:tc>
        <w:tc>
          <w:tcPr>
            <w:tcW w:w="1701" w:type="dxa"/>
            <w:vAlign w:val="center"/>
          </w:tcPr>
          <w:p>
            <w:pPr>
              <w:jc w:val="center"/>
              <w:rPr>
                <w:rFonts w:hAnsi="宋体"/>
                <w:sz w:val="24"/>
                <w:szCs w:val="24"/>
              </w:rPr>
            </w:pPr>
          </w:p>
        </w:tc>
      </w:tr>
    </w:tbl>
    <w:p>
      <w:pPr>
        <w:snapToGrid w:val="0"/>
        <w:spacing w:before="50" w:after="50"/>
        <w:rPr>
          <w:rFonts w:hAnsi="宋体"/>
          <w:sz w:val="24"/>
          <w:szCs w:val="24"/>
        </w:rPr>
      </w:pPr>
    </w:p>
    <w:p>
      <w:pPr>
        <w:snapToGrid w:val="0"/>
        <w:spacing w:before="50" w:after="50"/>
        <w:jc w:val="center"/>
        <w:rPr>
          <w:rStyle w:val="66"/>
          <w:rFonts w:ascii="华文中宋" w:hAnsi="华文中宋" w:eastAsia="华文中宋"/>
          <w:color w:val="auto"/>
          <w:sz w:val="28"/>
          <w:szCs w:val="28"/>
        </w:rPr>
      </w:pPr>
      <w:r>
        <w:rPr>
          <w:rFonts w:hAnsi="宋体"/>
          <w:sz w:val="32"/>
          <w:szCs w:val="32"/>
        </w:rPr>
        <w:br w:type="page"/>
      </w:r>
      <w:r>
        <w:rPr>
          <w:rStyle w:val="66"/>
          <w:rFonts w:hint="eastAsia" w:ascii="华文中宋" w:hAnsi="华文中宋" w:eastAsia="华文中宋"/>
          <w:color w:val="auto"/>
          <w:sz w:val="28"/>
          <w:szCs w:val="28"/>
        </w:rPr>
        <w:t>三、资信证明文件</w:t>
      </w:r>
    </w:p>
    <w:p>
      <w:pPr>
        <w:rPr>
          <w:rFonts w:hAnsi="宋体"/>
          <w:sz w:val="24"/>
          <w:szCs w:val="24"/>
        </w:rPr>
      </w:pPr>
    </w:p>
    <w:p>
      <w:pPr>
        <w:rPr>
          <w:rFonts w:ascii="仿宋_GB2312" w:hAnsi="宋体" w:eastAsia="仿宋_GB2312"/>
          <w:sz w:val="24"/>
          <w:szCs w:val="24"/>
        </w:rPr>
      </w:pPr>
      <w:r>
        <w:rPr>
          <w:rFonts w:hint="eastAsia" w:ascii="仿宋_GB2312" w:hAnsi="宋体" w:eastAsia="仿宋_GB2312"/>
          <w:sz w:val="24"/>
          <w:szCs w:val="24"/>
        </w:rPr>
        <w:t>1、实质性资格证明文件目录</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文件1   工商营业执照（复印件，加盖公章）</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文件2   法人授权书（原件，非法定代表人参与磋商时必须提供）</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文件3   投标人一般情况表（原件）</w:t>
      </w:r>
    </w:p>
    <w:p>
      <w:pPr>
        <w:rPr>
          <w:rFonts w:ascii="仿宋_GB2312" w:hAnsi="宋体" w:eastAsia="仿宋_GB2312"/>
          <w:sz w:val="24"/>
          <w:szCs w:val="24"/>
          <w:u w:val="single"/>
        </w:rPr>
      </w:pPr>
      <w:r>
        <w:rPr>
          <w:rFonts w:hint="eastAsia" w:ascii="仿宋_GB2312" w:hAnsi="宋体" w:eastAsia="仿宋_GB2312"/>
          <w:i/>
          <w:iCs/>
          <w:sz w:val="24"/>
          <w:szCs w:val="24"/>
          <w:u w:val="single"/>
        </w:rPr>
        <w:t>文件4磋商文件中的其他实质性要求</w:t>
      </w:r>
    </w:p>
    <w:p>
      <w:pPr>
        <w:rPr>
          <w:rFonts w:ascii="仿宋_GB2312" w:hAnsi="宋体" w:eastAsia="仿宋_GB2312"/>
          <w:sz w:val="24"/>
          <w:szCs w:val="24"/>
        </w:rPr>
      </w:pPr>
      <w:r>
        <w:rPr>
          <w:rFonts w:hint="eastAsia" w:ascii="仿宋_GB2312" w:hAnsi="宋体" w:eastAsia="仿宋_GB2312"/>
          <w:sz w:val="24"/>
          <w:szCs w:val="24"/>
        </w:rPr>
        <w:t>2、非实质性资信证明文件目录</w:t>
      </w:r>
    </w:p>
    <w:p>
      <w:pPr>
        <w:rPr>
          <w:rFonts w:ascii="仿宋_GB2312" w:hAnsi="宋体" w:eastAsia="仿宋_GB2312"/>
          <w:iCs/>
          <w:sz w:val="24"/>
          <w:szCs w:val="24"/>
        </w:rPr>
      </w:pPr>
      <w:bookmarkStart w:id="118" w:name="_Toc513029281"/>
      <w:bookmarkStart w:id="119" w:name="_Toc49090582"/>
      <w:bookmarkStart w:id="120" w:name="_Toc26554103"/>
      <w:bookmarkStart w:id="121" w:name="_Toc22356583"/>
      <w:bookmarkStart w:id="122" w:name="_Toc24878535"/>
      <w:bookmarkStart w:id="123" w:name="_Toc23828483"/>
      <w:bookmarkStart w:id="124" w:name="_Toc120614291"/>
      <w:bookmarkStart w:id="125" w:name="_Toc120614284"/>
      <w:r>
        <w:rPr>
          <w:rFonts w:hint="eastAsia" w:ascii="仿宋_GB2312" w:hAnsi="宋体" w:eastAsia="仿宋_GB2312"/>
          <w:iCs/>
          <w:sz w:val="24"/>
          <w:szCs w:val="24"/>
        </w:rPr>
        <w:t xml:space="preserve">文件1  </w:t>
      </w:r>
      <w:r>
        <w:rPr>
          <w:rFonts w:hint="eastAsia" w:ascii="仿宋_GB2312" w:hAnsi="宋体" w:eastAsia="仿宋_GB2312"/>
          <w:sz w:val="24"/>
          <w:szCs w:val="24"/>
        </w:rPr>
        <w:t>能说明响应产品规格型号、性能参数的彩页资料（或能佐证产品技术参数的其他宣传资料）（如有）</w:t>
      </w:r>
    </w:p>
    <w:p>
      <w:pPr>
        <w:rPr>
          <w:rFonts w:ascii="仿宋_GB2312" w:hAnsi="宋体" w:eastAsia="仿宋_GB2312"/>
          <w:sz w:val="24"/>
          <w:szCs w:val="24"/>
        </w:rPr>
      </w:pPr>
      <w:r>
        <w:rPr>
          <w:rFonts w:hint="eastAsia" w:ascii="仿宋_GB2312" w:hAnsi="宋体" w:eastAsia="仿宋_GB2312"/>
          <w:iCs/>
          <w:sz w:val="24"/>
          <w:szCs w:val="24"/>
        </w:rPr>
        <w:t xml:space="preserve">文件2  </w:t>
      </w:r>
      <w:r>
        <w:rPr>
          <w:rFonts w:hint="eastAsia" w:ascii="仿宋_GB2312" w:hAnsi="宋体" w:eastAsia="仿宋_GB2312"/>
          <w:sz w:val="24"/>
          <w:szCs w:val="24"/>
        </w:rPr>
        <w:t>其他和本项目有关的证明材料</w:t>
      </w:r>
    </w:p>
    <w:p>
      <w:pPr>
        <w:rPr>
          <w:rFonts w:hAnsi="宋体"/>
          <w:sz w:val="24"/>
          <w:szCs w:val="24"/>
        </w:rPr>
      </w:pPr>
    </w:p>
    <w:p>
      <w:pPr>
        <w:rPr>
          <w:rFonts w:hAnsi="宋体"/>
          <w:sz w:val="24"/>
          <w:szCs w:val="24"/>
        </w:rPr>
      </w:pPr>
    </w:p>
    <w:p>
      <w:pPr>
        <w:rPr>
          <w:rFonts w:hAnsi="宋体"/>
          <w:szCs w:val="24"/>
        </w:rPr>
      </w:pPr>
    </w:p>
    <w:p>
      <w:pPr>
        <w:jc w:val="center"/>
        <w:rPr>
          <w:rFonts w:hAnsi="宋体"/>
        </w:rPr>
      </w:pPr>
      <w:r>
        <w:rPr>
          <w:rFonts w:hAnsi="宋体"/>
          <w:szCs w:val="24"/>
        </w:rPr>
        <w:br w:type="page"/>
      </w:r>
      <w:r>
        <w:rPr>
          <w:rFonts w:hint="eastAsia" w:hAnsi="宋体"/>
        </w:rPr>
        <w:t>法人授权书</w:t>
      </w:r>
      <w:bookmarkEnd w:id="118"/>
      <w:bookmarkEnd w:id="119"/>
      <w:bookmarkEnd w:id="120"/>
      <w:bookmarkEnd w:id="121"/>
      <w:bookmarkEnd w:id="122"/>
      <w:bookmarkEnd w:id="123"/>
      <w:bookmarkEnd w:id="124"/>
      <w:r>
        <w:rPr>
          <w:rFonts w:hint="eastAsia" w:hAnsi="宋体"/>
        </w:rPr>
        <w:t>格式</w:t>
      </w:r>
    </w:p>
    <w:p>
      <w:pPr>
        <w:snapToGrid w:val="0"/>
        <w:spacing w:line="360" w:lineRule="auto"/>
        <w:rPr>
          <w:rFonts w:ascii="宋体" w:hAnsi="宋体"/>
          <w:b/>
          <w:spacing w:val="-6"/>
          <w:sz w:val="24"/>
          <w:szCs w:val="24"/>
        </w:rPr>
      </w:pPr>
      <w:r>
        <w:rPr>
          <w:rFonts w:hint="eastAsia" w:ascii="宋体" w:hAnsi="宋体"/>
          <w:spacing w:val="-6"/>
          <w:sz w:val="24"/>
          <w:szCs w:val="24"/>
        </w:rPr>
        <w:t>致：皖南医学院：</w:t>
      </w:r>
    </w:p>
    <w:p>
      <w:pPr>
        <w:adjustRightInd w:val="0"/>
        <w:snapToGrid w:val="0"/>
        <w:spacing w:line="360" w:lineRule="auto"/>
        <w:ind w:firstLine="684" w:firstLineChars="300"/>
        <w:rPr>
          <w:rFonts w:ascii="宋体" w:hAnsi="宋体"/>
          <w:spacing w:val="-6"/>
          <w:sz w:val="24"/>
          <w:szCs w:val="24"/>
        </w:rPr>
      </w:pPr>
      <w:r>
        <w:rPr>
          <w:rFonts w:hint="eastAsia" w:ascii="宋体" w:hAnsi="宋体"/>
          <w:spacing w:val="-6"/>
          <w:sz w:val="24"/>
          <w:szCs w:val="24"/>
        </w:rPr>
        <w:t>我______</w:t>
      </w:r>
      <w:r>
        <w:rPr>
          <w:rFonts w:hint="eastAsia" w:ascii="宋体" w:hAnsi="宋体"/>
          <w:spacing w:val="-6"/>
          <w:sz w:val="24"/>
          <w:szCs w:val="24"/>
          <w:u w:val="single"/>
        </w:rPr>
        <w:t>_     _</w:t>
      </w:r>
      <w:r>
        <w:rPr>
          <w:rFonts w:hint="eastAsia" w:ascii="宋体" w:hAnsi="宋体"/>
          <w:spacing w:val="-6"/>
          <w:sz w:val="24"/>
          <w:szCs w:val="24"/>
        </w:rPr>
        <w:t>_（姓名）系______</w:t>
      </w:r>
      <w:r>
        <w:rPr>
          <w:rFonts w:hint="eastAsia" w:ascii="宋体" w:hAnsi="宋体"/>
          <w:spacing w:val="-6"/>
          <w:sz w:val="24"/>
          <w:szCs w:val="24"/>
          <w:u w:val="single"/>
        </w:rPr>
        <w:t>_     _</w:t>
      </w:r>
      <w:r>
        <w:rPr>
          <w:rFonts w:hint="eastAsia" w:ascii="宋体" w:hAnsi="宋体"/>
          <w:spacing w:val="-6"/>
          <w:sz w:val="24"/>
          <w:szCs w:val="24"/>
        </w:rPr>
        <w:t xml:space="preserve">_（投标人名称）的法定代表人，现授权委托本单位在职职工 </w:t>
      </w:r>
      <w:r>
        <w:rPr>
          <w:rFonts w:hint="eastAsia" w:ascii="宋体" w:hAnsi="宋体"/>
          <w:spacing w:val="-6"/>
          <w:sz w:val="24"/>
          <w:szCs w:val="24"/>
          <w:u w:val="single"/>
        </w:rPr>
        <w:t xml:space="preserve">              </w:t>
      </w:r>
      <w:r>
        <w:rPr>
          <w:rFonts w:hint="eastAsia" w:ascii="宋体" w:hAnsi="宋体"/>
          <w:spacing w:val="-6"/>
          <w:sz w:val="24"/>
          <w:szCs w:val="24"/>
        </w:rPr>
        <w:t>（姓名）以我方的名义参加</w:t>
      </w:r>
      <w:r>
        <w:rPr>
          <w:rFonts w:hint="eastAsia" w:ascii="宋体" w:hAnsi="宋体"/>
          <w:spacing w:val="-6"/>
          <w:sz w:val="24"/>
          <w:szCs w:val="24"/>
          <w:u w:val="single"/>
        </w:rPr>
        <w:t xml:space="preserve">       （项目名称）</w:t>
      </w:r>
      <w:r>
        <w:rPr>
          <w:rFonts w:hint="eastAsia" w:ascii="宋体" w:hAnsi="宋体" w:cs="宋体"/>
          <w:spacing w:val="-6"/>
          <w:sz w:val="24"/>
          <w:szCs w:val="24"/>
        </w:rPr>
        <w:t>的投</w:t>
      </w:r>
      <w:r>
        <w:rPr>
          <w:rFonts w:hint="eastAsia" w:ascii="宋体" w:hAnsi="宋体"/>
          <w:spacing w:val="-6"/>
          <w:sz w:val="24"/>
          <w:szCs w:val="24"/>
        </w:rPr>
        <w:t>标活动，并代表我方全权办理针对上述项目的投标、开标、磋商、签约等具体事务和签署相关文件。</w:t>
      </w:r>
    </w:p>
    <w:p>
      <w:pPr>
        <w:snapToGrid w:val="0"/>
        <w:spacing w:line="360" w:lineRule="auto"/>
        <w:rPr>
          <w:rFonts w:ascii="宋体" w:hAnsi="宋体"/>
          <w:spacing w:val="-6"/>
          <w:sz w:val="24"/>
          <w:szCs w:val="24"/>
        </w:rPr>
      </w:pPr>
      <w:r>
        <w:rPr>
          <w:rFonts w:hint="eastAsia" w:ascii="宋体" w:hAnsi="宋体"/>
          <w:spacing w:val="-6"/>
          <w:sz w:val="24"/>
          <w:szCs w:val="24"/>
        </w:rPr>
        <w:t xml:space="preserve">     我方对被授权人的签名负全部责任。</w:t>
      </w:r>
    </w:p>
    <w:p>
      <w:pPr>
        <w:snapToGrid w:val="0"/>
        <w:spacing w:line="360" w:lineRule="auto"/>
        <w:ind w:firstLine="480"/>
        <w:rPr>
          <w:rFonts w:ascii="宋体" w:hAnsi="宋体"/>
          <w:spacing w:val="-6"/>
          <w:sz w:val="24"/>
          <w:szCs w:val="24"/>
        </w:rPr>
      </w:pPr>
      <w:r>
        <w:rPr>
          <w:rFonts w:hint="eastAsia" w:ascii="宋体" w:hAnsi="宋体"/>
          <w:spacing w:val="-6"/>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pacing w:val="-6"/>
          <w:sz w:val="24"/>
          <w:szCs w:val="24"/>
        </w:rPr>
      </w:pPr>
      <w:r>
        <w:rPr>
          <w:rFonts w:hint="eastAsia" w:ascii="宋体" w:hAnsi="宋体"/>
          <w:spacing w:val="-6"/>
          <w:sz w:val="24"/>
          <w:szCs w:val="24"/>
        </w:rPr>
        <w:t>被授权人无转委托权，特此委托。</w:t>
      </w:r>
    </w:p>
    <w:p>
      <w:pPr>
        <w:snapToGrid w:val="0"/>
        <w:spacing w:before="120" w:beforeLines="50" w:after="50" w:line="360" w:lineRule="auto"/>
        <w:rPr>
          <w:rFonts w:ascii="宋体" w:hAnsi="宋体"/>
          <w:spacing w:val="-6"/>
          <w:sz w:val="24"/>
          <w:szCs w:val="24"/>
        </w:rPr>
      </w:pPr>
    </w:p>
    <w:p>
      <w:pPr>
        <w:snapToGrid w:val="0"/>
        <w:spacing w:before="120" w:beforeLines="50" w:after="50" w:line="360" w:lineRule="auto"/>
        <w:rPr>
          <w:rFonts w:ascii="宋体" w:hAnsi="宋体"/>
          <w:spacing w:val="-6"/>
          <w:sz w:val="24"/>
          <w:szCs w:val="24"/>
          <w:u w:val="single"/>
        </w:rPr>
      </w:pPr>
      <w:r>
        <w:rPr>
          <w:rFonts w:hint="eastAsia" w:ascii="宋体" w:hAnsi="宋体"/>
          <w:spacing w:val="-6"/>
          <w:sz w:val="24"/>
          <w:szCs w:val="24"/>
        </w:rPr>
        <w:t>被授权人签名：</w:t>
      </w:r>
      <w:r>
        <w:rPr>
          <w:rFonts w:hint="eastAsia" w:ascii="宋体" w:hAnsi="宋体"/>
          <w:spacing w:val="-6"/>
          <w:sz w:val="24"/>
          <w:szCs w:val="24"/>
          <w:u w:val="single"/>
        </w:rPr>
        <w:t xml:space="preserve">          </w:t>
      </w:r>
      <w:r>
        <w:rPr>
          <w:rFonts w:hint="eastAsia" w:ascii="宋体" w:hAnsi="宋体"/>
          <w:spacing w:val="-6"/>
          <w:sz w:val="24"/>
          <w:szCs w:val="24"/>
        </w:rPr>
        <w:t xml:space="preserve">                 法定代表人签名：</w:t>
      </w:r>
      <w:r>
        <w:rPr>
          <w:rFonts w:hint="eastAsia" w:ascii="宋体" w:hAnsi="宋体"/>
          <w:spacing w:val="-6"/>
          <w:sz w:val="24"/>
          <w:szCs w:val="24"/>
          <w:u w:val="single"/>
        </w:rPr>
        <w:t xml:space="preserve">          </w:t>
      </w:r>
    </w:p>
    <w:p>
      <w:pPr>
        <w:snapToGrid w:val="0"/>
        <w:spacing w:before="120" w:beforeLines="50" w:after="50" w:line="360" w:lineRule="auto"/>
        <w:ind w:firstLine="912" w:firstLineChars="400"/>
        <w:rPr>
          <w:rFonts w:ascii="宋体" w:hAnsi="宋体"/>
          <w:spacing w:val="-6"/>
          <w:sz w:val="24"/>
          <w:szCs w:val="24"/>
        </w:rPr>
      </w:pPr>
      <w:r>
        <w:rPr>
          <w:rFonts w:hint="eastAsia" w:ascii="宋体" w:hAnsi="宋体"/>
          <w:spacing w:val="-6"/>
          <w:sz w:val="24"/>
          <w:szCs w:val="24"/>
        </w:rPr>
        <w:t>职务：</w:t>
      </w:r>
      <w:r>
        <w:rPr>
          <w:rFonts w:hint="eastAsia" w:ascii="宋体" w:hAnsi="宋体"/>
          <w:spacing w:val="-6"/>
          <w:sz w:val="24"/>
          <w:szCs w:val="24"/>
          <w:u w:val="single"/>
        </w:rPr>
        <w:t xml:space="preserve">           </w:t>
      </w:r>
      <w:r>
        <w:rPr>
          <w:rFonts w:hint="eastAsia" w:ascii="宋体" w:hAnsi="宋体"/>
          <w:spacing w:val="-6"/>
          <w:sz w:val="24"/>
          <w:szCs w:val="24"/>
        </w:rPr>
        <w:t xml:space="preserve">                          职务：</w:t>
      </w:r>
      <w:r>
        <w:rPr>
          <w:rFonts w:hint="eastAsia" w:ascii="宋体" w:hAnsi="宋体"/>
          <w:spacing w:val="-6"/>
          <w:sz w:val="24"/>
          <w:szCs w:val="24"/>
          <w:u w:val="single"/>
        </w:rPr>
        <w:t xml:space="preserve">           </w:t>
      </w:r>
    </w:p>
    <w:p>
      <w:pPr>
        <w:snapToGrid w:val="0"/>
        <w:spacing w:before="120" w:beforeLines="50" w:after="50" w:line="360" w:lineRule="auto"/>
        <w:rPr>
          <w:rFonts w:ascii="宋体" w:hAnsi="宋体"/>
          <w:spacing w:val="-6"/>
          <w:sz w:val="24"/>
          <w:szCs w:val="24"/>
        </w:rPr>
      </w:pPr>
    </w:p>
    <w:p>
      <w:pPr>
        <w:snapToGrid w:val="0"/>
        <w:spacing w:before="120" w:beforeLines="50" w:after="50" w:line="360" w:lineRule="auto"/>
        <w:rPr>
          <w:rFonts w:ascii="宋体" w:hAnsi="宋体"/>
          <w:spacing w:val="-6"/>
          <w:sz w:val="24"/>
          <w:szCs w:val="24"/>
        </w:rPr>
      </w:pPr>
      <w:r>
        <w:rPr>
          <w:rFonts w:hint="eastAsia" w:ascii="宋体" w:hAnsi="宋体"/>
          <w:spacing w:val="-6"/>
          <w:sz w:val="24"/>
          <w:szCs w:val="24"/>
        </w:rPr>
        <w:t xml:space="preserve">                                    投标人名称（盖章）：</w:t>
      </w:r>
    </w:p>
    <w:p>
      <w:pPr>
        <w:snapToGrid w:val="0"/>
        <w:spacing w:before="120" w:beforeLines="50" w:after="50" w:line="360" w:lineRule="auto"/>
        <w:jc w:val="center"/>
        <w:rPr>
          <w:rFonts w:ascii="宋体" w:hAnsi="宋体"/>
          <w:spacing w:val="-6"/>
          <w:sz w:val="24"/>
          <w:szCs w:val="24"/>
        </w:rPr>
      </w:pPr>
      <w:r>
        <w:rPr>
          <w:rFonts w:hint="eastAsia" w:ascii="宋体" w:hAnsi="宋体"/>
          <w:spacing w:val="-6"/>
          <w:sz w:val="24"/>
          <w:szCs w:val="24"/>
        </w:rPr>
        <w:t xml:space="preserve">                                        年    月    日</w:t>
      </w:r>
    </w:p>
    <w:p>
      <w:pPr>
        <w:spacing w:line="360" w:lineRule="auto"/>
        <w:rPr>
          <w:rFonts w:ascii="宋体" w:hAnsi="宋体"/>
          <w:spacing w:val="-6"/>
          <w:sz w:val="24"/>
          <w:szCs w:val="24"/>
        </w:rPr>
      </w:pPr>
      <w:r>
        <w:rPr>
          <w:rFonts w:ascii="宋体" w:hAnsi="宋体"/>
          <w:spacing w:val="-6"/>
          <w:sz w:val="24"/>
          <w:szCs w:val="24"/>
        </w:rPr>
        <mc:AlternateContent>
          <mc:Choice Requires="wps">
            <w:drawing>
              <wp:anchor distT="0" distB="0" distL="114300" distR="114300" simplePos="0" relativeHeight="251660288" behindDoc="0" locked="0" layoutInCell="1" allowOverlap="1">
                <wp:simplePos x="0" y="0"/>
                <wp:positionH relativeFrom="column">
                  <wp:posOffset>3108325</wp:posOffset>
                </wp:positionH>
                <wp:positionV relativeFrom="paragraph">
                  <wp:posOffset>148590</wp:posOffset>
                </wp:positionV>
                <wp:extent cx="3023235" cy="2360295"/>
                <wp:effectExtent l="4445" t="4445" r="20320" b="16510"/>
                <wp:wrapNone/>
                <wp:docPr id="2" name="文本框 4"/>
                <wp:cNvGraphicFramePr/>
                <a:graphic xmlns:a="http://schemas.openxmlformats.org/drawingml/2006/main">
                  <a:graphicData uri="http://schemas.microsoft.com/office/word/2010/wordprocessingShape">
                    <wps:wsp>
                      <wps:cNvSpPr txBox="1"/>
                      <wps:spPr>
                        <a:xfrm>
                          <a:off x="0" y="0"/>
                          <a:ext cx="302323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wps:txbx>
                      <wps:bodyPr wrap="square" upright="1"/>
                    </wps:wsp>
                  </a:graphicData>
                </a:graphic>
              </wp:anchor>
            </w:drawing>
          </mc:Choice>
          <mc:Fallback>
            <w:pict>
              <v:shape id="文本框 4" o:spid="_x0000_s1026" o:spt="202" type="#_x0000_t202" style="position:absolute;left:0pt;margin-left:244.75pt;margin-top:11.7pt;height:185.85pt;width:238.05pt;z-index:251660288;mso-width-relative:page;mso-height-relative:page;" fillcolor="#FFFFFF" filled="t" stroked="t" coordsize="21600,21600" o:gfxdata="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B9HLvaAAAACgEAAA8A&#10;AAAAAAAAAQAgAAAAIgAAAGRycy9kb3ducmV2LnhtbFBLAQIUABQAAAAIAIdO4kCqtCPhFQIAAEUE&#10;AAAOAAAAAAAAAAEAIAAAACkBAABkcnMvZTJvRG9jLnhtbFBLBQYAAAAABgAGAFkBAACw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v:textbox>
              </v:shape>
            </w:pict>
          </mc:Fallback>
        </mc:AlternateContent>
      </w:r>
      <w:r>
        <w:rPr>
          <w:rFonts w:ascii="宋体" w:hAnsi="宋体"/>
          <w:spacing w:val="-6"/>
          <w:sz w:val="24"/>
          <w:szCs w:val="24"/>
        </w:rPr>
        <mc:AlternateContent>
          <mc:Choice Requires="wps">
            <w:drawing>
              <wp:anchor distT="0" distB="0" distL="114300" distR="114300" simplePos="0" relativeHeight="251659264" behindDoc="0" locked="0" layoutInCell="1" allowOverlap="1">
                <wp:simplePos x="0" y="0"/>
                <wp:positionH relativeFrom="column">
                  <wp:posOffset>-155575</wp:posOffset>
                </wp:positionH>
                <wp:positionV relativeFrom="paragraph">
                  <wp:posOffset>148590</wp:posOffset>
                </wp:positionV>
                <wp:extent cx="3062605" cy="2360295"/>
                <wp:effectExtent l="4445" t="4445" r="19050" b="16510"/>
                <wp:wrapNone/>
                <wp:docPr id="1" name="Text Box 3"/>
                <wp:cNvGraphicFramePr/>
                <a:graphic xmlns:a="http://schemas.openxmlformats.org/drawingml/2006/main">
                  <a:graphicData uri="http://schemas.microsoft.com/office/word/2010/wordprocessingShape">
                    <wps:wsp>
                      <wps:cNvSpPr txBox="1"/>
                      <wps:spPr>
                        <a:xfrm>
                          <a:off x="0" y="0"/>
                          <a:ext cx="306260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wps:txbx>
                      <wps:bodyPr wrap="square" upright="1"/>
                    </wps:wsp>
                  </a:graphicData>
                </a:graphic>
              </wp:anchor>
            </w:drawing>
          </mc:Choice>
          <mc:Fallback>
            <w:pict>
              <v:shape id="Text Box 3" o:spid="_x0000_s1026" o:spt="202" type="#_x0000_t202" style="position:absolute;left:0pt;margin-left:-12.25pt;margin-top:11.7pt;height:185.85pt;width:241.15pt;z-index:251659264;mso-width-relative:page;mso-height-relative:page;" fillcolor="#FFFFFF" filled="t" stroked="t" coordsize="21600,21600" o:gfxdata="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AuvSnZAAAACgEAAA8AAAAAAAAAAQAgAAAAIgAAAGRy&#10;cy9kb3ducmV2LnhtbFBLAQIUABQAAAAIAIdO4kCZS6dfBAIAAEQEAAAOAAAAAAAAAAEAIAAAACgB&#10;AABkcnMvZTJvRG9jLnhtbFBLBQYAAAAABgAGAFkBAACe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v:textbox>
              </v:shape>
            </w:pict>
          </mc:Fallback>
        </mc:AlternateContent>
      </w:r>
    </w:p>
    <w:p>
      <w:pPr>
        <w:spacing w:line="360" w:lineRule="auto"/>
        <w:rPr>
          <w:rFonts w:ascii="宋体" w:hAnsi="宋体"/>
          <w:spacing w:val="-6"/>
          <w:sz w:val="24"/>
          <w:szCs w:val="24"/>
        </w:rPr>
      </w:pPr>
    </w:p>
    <w:p>
      <w:pPr>
        <w:spacing w:line="360" w:lineRule="auto"/>
        <w:rPr>
          <w:rFonts w:ascii="宋体" w:hAnsi="宋体"/>
          <w:spacing w:val="-6"/>
          <w:sz w:val="24"/>
          <w:szCs w:val="24"/>
        </w:rPr>
      </w:pPr>
    </w:p>
    <w:p>
      <w:pPr>
        <w:adjustRightInd w:val="0"/>
        <w:snapToGrid w:val="0"/>
        <w:spacing w:line="300" w:lineRule="auto"/>
        <w:rPr>
          <w:rFonts w:ascii="宋体" w:hAnsi="宋体"/>
          <w:spacing w:val="-6"/>
          <w:sz w:val="24"/>
          <w:szCs w:val="24"/>
        </w:rPr>
      </w:pPr>
      <w:r>
        <w:rPr>
          <w:rFonts w:hint="eastAsia" w:ascii="宋体" w:hAnsi="宋体"/>
          <w:spacing w:val="-6"/>
          <w:sz w:val="24"/>
          <w:szCs w:val="24"/>
        </w:rPr>
        <w:t xml:space="preserve"> </w:t>
      </w: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rPr>
      </w:pPr>
    </w:p>
    <w:p>
      <w:pPr>
        <w:spacing w:line="360" w:lineRule="auto"/>
        <w:jc w:val="center"/>
        <w:rPr>
          <w:rFonts w:ascii="宋体" w:hAnsi="宋体"/>
          <w:b/>
          <w:spacing w:val="-6"/>
          <w:sz w:val="24"/>
        </w:rPr>
      </w:pPr>
    </w:p>
    <w:p>
      <w:pPr>
        <w:spacing w:line="360" w:lineRule="auto"/>
        <w:jc w:val="center"/>
        <w:rPr>
          <w:rFonts w:ascii="宋体" w:hAnsi="宋体"/>
          <w:b/>
          <w:spacing w:val="-6"/>
          <w:sz w:val="24"/>
        </w:rPr>
      </w:pPr>
      <w:r>
        <w:rPr>
          <w:rFonts w:hint="eastAsia" w:ascii="宋体" w:hAnsi="宋体"/>
          <w:b/>
          <w:spacing w:val="-6"/>
          <w:sz w:val="24"/>
        </w:rPr>
        <w:t>投标人一般情况表</w:t>
      </w:r>
    </w:p>
    <w:tbl>
      <w:tblPr>
        <w:tblStyle w:val="27"/>
        <w:tblpPr w:leftFromText="180" w:rightFromText="180" w:vertAnchor="text" w:horzAnchor="page" w:tblpX="1836" w:tblpY="357"/>
        <w:tblOverlap w:val="never"/>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1</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2</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3</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4</w:t>
            </w:r>
          </w:p>
        </w:tc>
        <w:tc>
          <w:tcPr>
            <w:tcW w:w="4305" w:type="dxa"/>
            <w:gridSpan w:val="2"/>
            <w:vAlign w:val="center"/>
          </w:tcPr>
          <w:p>
            <w:pPr>
              <w:spacing w:line="360" w:lineRule="auto"/>
              <w:rPr>
                <w:rFonts w:ascii="宋体" w:hAnsi="宋体"/>
                <w:spacing w:val="-6"/>
                <w:sz w:val="24"/>
                <w:szCs w:val="24"/>
              </w:rPr>
            </w:pPr>
            <w:r>
              <w:rPr>
                <w:rFonts w:hint="eastAsia" w:ascii="宋体" w:hAnsi="宋体"/>
                <w:spacing w:val="-6"/>
                <w:sz w:val="24"/>
                <w:szCs w:val="24"/>
              </w:rPr>
              <w:t>电话：</w:t>
            </w:r>
          </w:p>
        </w:tc>
        <w:tc>
          <w:tcPr>
            <w:tcW w:w="3842" w:type="dxa"/>
            <w:vAlign w:val="center"/>
          </w:tcPr>
          <w:p>
            <w:pPr>
              <w:spacing w:line="360" w:lineRule="auto"/>
              <w:rPr>
                <w:rFonts w:ascii="宋体" w:hAnsi="宋体"/>
                <w:spacing w:val="-6"/>
                <w:sz w:val="24"/>
                <w:szCs w:val="24"/>
              </w:rPr>
            </w:pPr>
            <w:r>
              <w:rPr>
                <w:rFonts w:hint="eastAsia" w:ascii="宋体" w:hAnsi="宋体"/>
                <w:spacing w:val="-6"/>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5</w:t>
            </w:r>
          </w:p>
        </w:tc>
        <w:tc>
          <w:tcPr>
            <w:tcW w:w="4305" w:type="dxa"/>
            <w:gridSpan w:val="2"/>
            <w:vAlign w:val="center"/>
          </w:tcPr>
          <w:p>
            <w:pPr>
              <w:spacing w:line="360" w:lineRule="auto"/>
              <w:rPr>
                <w:rFonts w:ascii="宋体" w:hAnsi="宋体"/>
                <w:spacing w:val="-6"/>
                <w:sz w:val="24"/>
                <w:szCs w:val="24"/>
              </w:rPr>
            </w:pPr>
            <w:r>
              <w:rPr>
                <w:rFonts w:hint="eastAsia" w:ascii="宋体" w:hAnsi="宋体"/>
                <w:spacing w:val="-6"/>
                <w:sz w:val="24"/>
                <w:szCs w:val="24"/>
              </w:rPr>
              <w:t>传真：</w:t>
            </w:r>
          </w:p>
        </w:tc>
        <w:tc>
          <w:tcPr>
            <w:tcW w:w="3842" w:type="dxa"/>
            <w:vAlign w:val="center"/>
          </w:tcPr>
          <w:p>
            <w:pPr>
              <w:spacing w:line="360" w:lineRule="auto"/>
              <w:rPr>
                <w:rFonts w:ascii="宋体" w:hAnsi="宋体"/>
                <w:spacing w:val="-6"/>
                <w:sz w:val="24"/>
                <w:szCs w:val="24"/>
              </w:rPr>
            </w:pPr>
            <w:r>
              <w:rPr>
                <w:rFonts w:hint="eastAsia" w:ascii="宋体" w:hAnsi="宋体"/>
                <w:spacing w:val="-6"/>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6</w:t>
            </w:r>
          </w:p>
        </w:tc>
        <w:tc>
          <w:tcPr>
            <w:tcW w:w="4305" w:type="dxa"/>
            <w:gridSpan w:val="2"/>
            <w:vAlign w:val="center"/>
          </w:tcPr>
          <w:p>
            <w:pPr>
              <w:spacing w:line="360" w:lineRule="auto"/>
              <w:rPr>
                <w:rFonts w:ascii="宋体" w:hAnsi="宋体"/>
                <w:spacing w:val="-6"/>
                <w:sz w:val="24"/>
                <w:szCs w:val="24"/>
              </w:rPr>
            </w:pPr>
            <w:r>
              <w:rPr>
                <w:rFonts w:hint="eastAsia" w:ascii="宋体" w:hAnsi="宋体"/>
                <w:spacing w:val="-6"/>
                <w:sz w:val="24"/>
                <w:szCs w:val="24"/>
              </w:rPr>
              <w:t>注册地：</w:t>
            </w:r>
          </w:p>
        </w:tc>
        <w:tc>
          <w:tcPr>
            <w:tcW w:w="3842" w:type="dxa"/>
            <w:vAlign w:val="center"/>
          </w:tcPr>
          <w:p>
            <w:pPr>
              <w:spacing w:line="360" w:lineRule="auto"/>
              <w:rPr>
                <w:rFonts w:ascii="宋体" w:hAnsi="宋体"/>
                <w:spacing w:val="-6"/>
                <w:sz w:val="24"/>
                <w:szCs w:val="24"/>
              </w:rPr>
            </w:pPr>
            <w:r>
              <w:rPr>
                <w:rFonts w:hint="eastAsia" w:ascii="宋体" w:hAnsi="宋体"/>
                <w:spacing w:val="-6"/>
                <w:sz w:val="24"/>
                <w:szCs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7</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8</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9</w:t>
            </w:r>
          </w:p>
        </w:tc>
        <w:tc>
          <w:tcPr>
            <w:tcW w:w="2520" w:type="dxa"/>
            <w:vAlign w:val="center"/>
          </w:tcPr>
          <w:p>
            <w:pPr>
              <w:spacing w:line="360" w:lineRule="auto"/>
              <w:rPr>
                <w:rFonts w:ascii="宋体" w:hAnsi="宋体"/>
                <w:spacing w:val="-6"/>
                <w:sz w:val="24"/>
                <w:szCs w:val="24"/>
              </w:rPr>
            </w:pPr>
            <w:r>
              <w:rPr>
                <w:rFonts w:hint="eastAsia" w:ascii="宋体" w:hAnsi="宋体"/>
                <w:spacing w:val="-6"/>
                <w:sz w:val="24"/>
                <w:szCs w:val="24"/>
              </w:rPr>
              <w:t>作为承包人经历年数：</w:t>
            </w:r>
          </w:p>
        </w:tc>
        <w:tc>
          <w:tcPr>
            <w:tcW w:w="5627" w:type="dxa"/>
            <w:gridSpan w:val="2"/>
            <w:vAlign w:val="center"/>
          </w:tcPr>
          <w:p>
            <w:pPr>
              <w:spacing w:line="360" w:lineRule="auto"/>
              <w:rPr>
                <w:rFonts w:ascii="宋体" w:hAnsi="宋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10</w:t>
            </w:r>
          </w:p>
        </w:tc>
        <w:tc>
          <w:tcPr>
            <w:tcW w:w="2520" w:type="dxa"/>
            <w:vAlign w:val="center"/>
          </w:tcPr>
          <w:p>
            <w:pPr>
              <w:spacing w:line="360" w:lineRule="auto"/>
              <w:rPr>
                <w:rFonts w:ascii="宋体" w:hAnsi="宋体"/>
                <w:spacing w:val="-6"/>
                <w:sz w:val="24"/>
                <w:szCs w:val="24"/>
              </w:rPr>
            </w:pPr>
            <w:r>
              <w:rPr>
                <w:rFonts w:hint="eastAsia" w:ascii="宋体" w:hAnsi="宋体"/>
                <w:spacing w:val="-6"/>
                <w:sz w:val="24"/>
                <w:szCs w:val="24"/>
              </w:rPr>
              <w:t>其他需要说明的情况</w:t>
            </w:r>
          </w:p>
        </w:tc>
        <w:tc>
          <w:tcPr>
            <w:tcW w:w="5627" w:type="dxa"/>
            <w:gridSpan w:val="2"/>
            <w:vAlign w:val="center"/>
          </w:tcPr>
          <w:p>
            <w:pPr>
              <w:spacing w:line="360" w:lineRule="auto"/>
              <w:rPr>
                <w:rFonts w:ascii="宋体" w:hAnsi="宋体"/>
                <w:spacing w:val="-6"/>
                <w:sz w:val="24"/>
                <w:szCs w:val="24"/>
              </w:rPr>
            </w:pPr>
          </w:p>
          <w:p>
            <w:pPr>
              <w:spacing w:line="360" w:lineRule="auto"/>
              <w:rPr>
                <w:rFonts w:ascii="宋体" w:hAnsi="宋体"/>
                <w:spacing w:val="-6"/>
                <w:sz w:val="24"/>
                <w:szCs w:val="24"/>
              </w:rPr>
            </w:pPr>
          </w:p>
          <w:p>
            <w:pPr>
              <w:spacing w:line="360" w:lineRule="auto"/>
              <w:rPr>
                <w:rFonts w:ascii="宋体" w:hAnsi="宋体"/>
                <w:spacing w:val="-6"/>
                <w:sz w:val="24"/>
                <w:szCs w:val="24"/>
              </w:rPr>
            </w:pPr>
          </w:p>
        </w:tc>
      </w:tr>
    </w:tbl>
    <w:p>
      <w:pPr>
        <w:spacing w:line="360" w:lineRule="auto"/>
        <w:rPr>
          <w:rFonts w:ascii="宋体" w:hAnsi="宋体"/>
          <w:spacing w:val="-6"/>
        </w:rPr>
      </w:pPr>
    </w:p>
    <w:p>
      <w:pPr>
        <w:spacing w:line="360" w:lineRule="auto"/>
        <w:ind w:firstLine="573"/>
        <w:rPr>
          <w:rFonts w:ascii="宋体" w:hAnsi="宋体"/>
          <w:spacing w:val="-6"/>
          <w:sz w:val="24"/>
          <w:szCs w:val="24"/>
        </w:rPr>
      </w:pPr>
    </w:p>
    <w:p>
      <w:pPr>
        <w:spacing w:line="360" w:lineRule="auto"/>
        <w:ind w:firstLine="228" w:firstLineChars="100"/>
        <w:rPr>
          <w:rFonts w:ascii="宋体" w:hAnsi="宋体"/>
          <w:spacing w:val="-6"/>
          <w:sz w:val="24"/>
          <w:szCs w:val="24"/>
        </w:rPr>
      </w:pPr>
      <w:r>
        <w:rPr>
          <w:rFonts w:hint="eastAsia" w:ascii="宋体" w:hAnsi="宋体"/>
          <w:spacing w:val="-6"/>
          <w:sz w:val="24"/>
          <w:szCs w:val="24"/>
        </w:rPr>
        <w:t>说明：所有投标申请人都须填写此表。</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ind w:left="540" w:firstLine="30"/>
        <w:jc w:val="center"/>
        <w:rPr>
          <w:rFonts w:ascii="宋体" w:hAnsi="宋体"/>
          <w:spacing w:val="-6"/>
          <w:sz w:val="24"/>
          <w:szCs w:val="24"/>
        </w:rPr>
      </w:pPr>
      <w:r>
        <w:rPr>
          <w:rFonts w:hint="eastAsia" w:ascii="宋体" w:hAnsi="宋体"/>
          <w:spacing w:val="-6"/>
          <w:sz w:val="24"/>
          <w:szCs w:val="24"/>
        </w:rPr>
        <w:t xml:space="preserve">           授权代表签字：</w:t>
      </w:r>
    </w:p>
    <w:p>
      <w:pPr>
        <w:spacing w:line="360" w:lineRule="auto"/>
        <w:ind w:left="540" w:firstLine="5068"/>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投标人名称（盖章）：</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日期：    年   月  日</w:t>
      </w: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pacing w:val="-6"/>
        </w:rPr>
      </w:pPr>
      <w:r>
        <w:rPr>
          <w:rFonts w:hint="eastAsia" w:hAnsi="宋体"/>
          <w:spacing w:val="-6"/>
        </w:rPr>
        <w:t xml:space="preserve"> </w:t>
      </w:r>
    </w:p>
    <w:p>
      <w:pPr>
        <w:pStyle w:val="40"/>
        <w:ind w:firstLine="0" w:firstLineChars="0"/>
        <w:rPr>
          <w:rFonts w:hAnsi="宋体" w:eastAsia="宋体"/>
          <w:sz w:val="24"/>
          <w:szCs w:val="24"/>
        </w:rPr>
      </w:pPr>
    </w:p>
    <w:bookmarkEnd w:id="125"/>
    <w:p>
      <w:pPr>
        <w:rPr>
          <w:rFonts w:ascii="华文中宋" w:hAnsi="华文中宋" w:eastAsia="华文中宋"/>
          <w:b/>
          <w:spacing w:val="-6"/>
          <w:szCs w:val="28"/>
        </w:rPr>
      </w:pPr>
      <w:bookmarkStart w:id="126" w:name="_Toc49090577"/>
      <w:bookmarkStart w:id="127" w:name="_Toc460901585"/>
      <w:bookmarkStart w:id="128" w:name="_Toc26554095"/>
      <w:bookmarkStart w:id="129" w:name="_Toc22356580"/>
      <w:bookmarkStart w:id="130" w:name="_Toc513029276"/>
      <w:bookmarkStart w:id="131" w:name="_Toc120614283"/>
      <w:bookmarkStart w:id="132" w:name="_Toc23828478"/>
      <w:r>
        <w:rPr>
          <w:rFonts w:hint="eastAsia" w:ascii="华文中宋" w:hAnsi="华文中宋" w:eastAsia="华文中宋"/>
          <w:b/>
          <w:spacing w:val="-6"/>
          <w:szCs w:val="28"/>
        </w:rPr>
        <w:br w:type="page"/>
      </w:r>
    </w:p>
    <w:p>
      <w:pPr>
        <w:jc w:val="center"/>
        <w:rPr>
          <w:rStyle w:val="66"/>
          <w:rFonts w:ascii="华文中宋" w:hAnsi="华文中宋" w:eastAsia="华文中宋"/>
          <w:b w:val="0"/>
          <w:color w:val="auto"/>
          <w:sz w:val="28"/>
          <w:szCs w:val="28"/>
        </w:rPr>
      </w:pPr>
      <w:r>
        <w:rPr>
          <w:rFonts w:hint="eastAsia" w:ascii="华文中宋" w:hAnsi="华文中宋" w:eastAsia="华文中宋"/>
          <w:b/>
          <w:spacing w:val="-6"/>
          <w:szCs w:val="28"/>
        </w:rPr>
        <w:t>四、</w:t>
      </w:r>
      <w:r>
        <w:rPr>
          <w:rStyle w:val="66"/>
          <w:rFonts w:hint="eastAsia" w:ascii="华文中宋" w:hAnsi="华文中宋" w:eastAsia="华文中宋"/>
          <w:color w:val="auto"/>
          <w:sz w:val="28"/>
          <w:szCs w:val="28"/>
        </w:rPr>
        <w:t>磋商函格式</w:t>
      </w:r>
    </w:p>
    <w:bookmarkEnd w:id="126"/>
    <w:bookmarkEnd w:id="127"/>
    <w:bookmarkEnd w:id="128"/>
    <w:bookmarkEnd w:id="129"/>
    <w:bookmarkEnd w:id="130"/>
    <w:bookmarkEnd w:id="131"/>
    <w:bookmarkEnd w:id="132"/>
    <w:p>
      <w:pPr>
        <w:tabs>
          <w:tab w:val="left" w:pos="5580"/>
        </w:tabs>
        <w:spacing w:line="480" w:lineRule="exact"/>
        <w:rPr>
          <w:rStyle w:val="66"/>
          <w:rFonts w:hAnsi="宋体"/>
          <w:color w:val="auto"/>
        </w:rPr>
      </w:pPr>
    </w:p>
    <w:p>
      <w:pPr>
        <w:rPr>
          <w:rFonts w:ascii="仿宋_GB2312" w:hAnsi="宋体" w:eastAsia="仿宋_GB2312"/>
          <w:sz w:val="24"/>
          <w:szCs w:val="24"/>
        </w:rPr>
      </w:pPr>
      <w:r>
        <w:rPr>
          <w:rFonts w:hint="eastAsia" w:ascii="仿宋_GB2312" w:hAnsi="宋体" w:eastAsia="仿宋_GB2312"/>
          <w:sz w:val="24"/>
          <w:szCs w:val="24"/>
        </w:rPr>
        <w:t>致：皖南医学院</w:t>
      </w:r>
    </w:p>
    <w:p>
      <w:pPr>
        <w:ind w:firstLine="480" w:firstLineChars="200"/>
        <w:rPr>
          <w:rFonts w:ascii="仿宋_GB2312" w:hAnsi="宋体" w:eastAsia="仿宋_GB2312"/>
          <w:sz w:val="24"/>
          <w:szCs w:val="24"/>
        </w:rPr>
      </w:pPr>
      <w:r>
        <w:rPr>
          <w:rFonts w:hint="eastAsia" w:ascii="仿宋_GB2312" w:hAnsi="宋体" w:eastAsia="仿宋_GB2312"/>
          <w:sz w:val="24"/>
          <w:szCs w:val="24"/>
        </w:rPr>
        <w:t>根据贵方的</w:t>
      </w:r>
      <w:r>
        <w:rPr>
          <w:rFonts w:hint="eastAsia" w:ascii="仿宋_GB2312" w:hAnsi="宋体" w:eastAsia="仿宋_GB2312"/>
          <w:kern w:val="0"/>
          <w:sz w:val="24"/>
          <w:szCs w:val="24"/>
        </w:rPr>
        <w:t>皖南医学院</w:t>
      </w:r>
      <w:r>
        <w:rPr>
          <w:rFonts w:hint="eastAsia" w:ascii="仿宋_GB2312" w:hAnsi="宋体" w:eastAsia="仿宋_GB2312"/>
          <w:sz w:val="24"/>
          <w:szCs w:val="24"/>
        </w:rPr>
        <w:t>磋商文件，正式授权下述签_______________(姓名和职务)代表我方______________（供应商的名称），全权处理本次项目磋商的有关事宜。</w:t>
      </w:r>
    </w:p>
    <w:p>
      <w:pPr>
        <w:ind w:firstLine="480" w:firstLineChars="200"/>
        <w:rPr>
          <w:rFonts w:ascii="仿宋_GB2312" w:hAnsi="宋体" w:eastAsia="仿宋_GB2312"/>
          <w:sz w:val="24"/>
          <w:szCs w:val="24"/>
        </w:rPr>
      </w:pPr>
      <w:r>
        <w:rPr>
          <w:rFonts w:hint="eastAsia" w:ascii="仿宋_GB2312" w:hAnsi="宋体" w:eastAsia="仿宋_GB2312"/>
          <w:sz w:val="24"/>
          <w:szCs w:val="24"/>
        </w:rPr>
        <w:t>据此函，__________（签字人）兹宣布同意如下：</w:t>
      </w:r>
    </w:p>
    <w:p>
      <w:pPr>
        <w:ind w:firstLine="480" w:firstLineChars="200"/>
        <w:rPr>
          <w:rFonts w:ascii="仿宋_GB2312" w:hAnsi="宋体" w:eastAsia="仿宋_GB2312"/>
          <w:sz w:val="24"/>
          <w:szCs w:val="24"/>
        </w:rPr>
      </w:pPr>
      <w:r>
        <w:rPr>
          <w:rFonts w:hint="eastAsia" w:ascii="仿宋_GB2312" w:hAnsi="宋体" w:eastAsia="仿宋_GB2312"/>
          <w:sz w:val="24"/>
          <w:szCs w:val="24"/>
        </w:rPr>
        <w:t>1.按磋商文件规定的各项要求，向买方提供所需货物与服务。</w:t>
      </w:r>
    </w:p>
    <w:p>
      <w:pPr>
        <w:ind w:firstLine="480" w:firstLineChars="200"/>
        <w:rPr>
          <w:rFonts w:ascii="仿宋_GB2312" w:hAnsi="宋体" w:eastAsia="仿宋_GB2312"/>
          <w:sz w:val="24"/>
          <w:szCs w:val="24"/>
        </w:rPr>
      </w:pPr>
      <w:r>
        <w:rPr>
          <w:rFonts w:hint="eastAsia" w:ascii="仿宋_GB2312" w:hAnsi="宋体" w:eastAsia="仿宋_GB2312"/>
          <w:sz w:val="24"/>
          <w:szCs w:val="24"/>
        </w:rPr>
        <w:t>2.我们完全理解贵方不一定将合同授予最低报价的供应商。</w:t>
      </w:r>
    </w:p>
    <w:p>
      <w:pPr>
        <w:ind w:firstLine="480" w:firstLineChars="200"/>
        <w:rPr>
          <w:rFonts w:ascii="仿宋_GB2312" w:hAnsi="宋体" w:eastAsia="仿宋_GB2312"/>
          <w:sz w:val="24"/>
          <w:szCs w:val="24"/>
        </w:rPr>
      </w:pPr>
      <w:r>
        <w:rPr>
          <w:rFonts w:hint="eastAsia" w:ascii="仿宋_GB2312" w:hAnsi="宋体" w:eastAsia="仿宋_GB2312"/>
          <w:sz w:val="24"/>
          <w:szCs w:val="24"/>
        </w:rPr>
        <w:t>3.我们已详细审核全部磋商文件及其有效补充文件，我们知道必须放弃提出含糊不清或误解问题的权利。</w:t>
      </w:r>
    </w:p>
    <w:p>
      <w:pPr>
        <w:ind w:firstLine="480" w:firstLineChars="200"/>
        <w:rPr>
          <w:rFonts w:ascii="仿宋_GB2312" w:hAnsi="宋体" w:eastAsia="仿宋_GB2312"/>
          <w:sz w:val="24"/>
          <w:szCs w:val="24"/>
        </w:rPr>
      </w:pPr>
      <w:r>
        <w:rPr>
          <w:rFonts w:hint="eastAsia" w:ascii="仿宋_GB2312" w:hAnsi="宋体" w:eastAsia="仿宋_GB2312"/>
          <w:sz w:val="24"/>
          <w:szCs w:val="24"/>
        </w:rPr>
        <w:t>4.我们同意从规定的响应文件开启时间起遵循本响应文件。</w:t>
      </w:r>
    </w:p>
    <w:p>
      <w:pPr>
        <w:ind w:firstLine="480" w:firstLineChars="200"/>
        <w:rPr>
          <w:rFonts w:ascii="仿宋_GB2312" w:hAnsi="宋体" w:eastAsia="仿宋_GB2312"/>
          <w:sz w:val="24"/>
          <w:szCs w:val="24"/>
        </w:rPr>
      </w:pPr>
      <w:r>
        <w:rPr>
          <w:rFonts w:hint="eastAsia" w:ascii="仿宋_GB2312" w:hAnsi="宋体" w:eastAsia="仿宋_GB2312"/>
          <w:sz w:val="24"/>
          <w:szCs w:val="24"/>
        </w:rPr>
        <w:t>5.同意向贵方提供贵方可能另外要求的与磋商有关的任何证据或资料，并保证我方已提供和将要提供的文件是真实的、准确的。</w:t>
      </w:r>
    </w:p>
    <w:p>
      <w:pPr>
        <w:ind w:firstLine="480" w:firstLineChars="200"/>
        <w:rPr>
          <w:rFonts w:ascii="仿宋_GB2312" w:hAnsi="宋体" w:eastAsia="仿宋_GB2312"/>
          <w:sz w:val="24"/>
          <w:szCs w:val="24"/>
        </w:rPr>
      </w:pPr>
      <w:r>
        <w:rPr>
          <w:rFonts w:hint="eastAsia" w:ascii="仿宋_GB2312" w:hAnsi="宋体" w:eastAsia="仿宋_GB2312"/>
          <w:sz w:val="24"/>
          <w:szCs w:val="24"/>
        </w:rPr>
        <w:t>6.一旦我方确认成交,我方将根据磋商文件的规定，严格履行合同的责任和义务,并保证在磋商文件规定的时间完成项目，交付买方验收、使用。</w:t>
      </w:r>
    </w:p>
    <w:p>
      <w:pPr>
        <w:ind w:firstLine="480" w:firstLineChars="200"/>
        <w:rPr>
          <w:rFonts w:ascii="仿宋_GB2312" w:hAnsi="宋体" w:eastAsia="仿宋_GB2312"/>
          <w:sz w:val="24"/>
          <w:szCs w:val="24"/>
        </w:rPr>
      </w:pPr>
      <w:r>
        <w:rPr>
          <w:rFonts w:hint="eastAsia" w:ascii="仿宋_GB2312" w:hAnsi="宋体" w:eastAsia="仿宋_GB2312"/>
          <w:sz w:val="24"/>
          <w:szCs w:val="24"/>
        </w:rPr>
        <w:t>7.遵守磋商文件中要求的收费项目和标准。</w:t>
      </w:r>
    </w:p>
    <w:p>
      <w:pPr>
        <w:ind w:firstLine="480" w:firstLineChars="200"/>
        <w:rPr>
          <w:rFonts w:ascii="仿宋_GB2312" w:hAnsi="宋体" w:eastAsia="仿宋_GB2312"/>
          <w:sz w:val="24"/>
          <w:szCs w:val="24"/>
        </w:rPr>
      </w:pPr>
      <w:r>
        <w:rPr>
          <w:rFonts w:hint="eastAsia" w:ascii="仿宋_GB2312" w:hAnsi="宋体" w:eastAsia="仿宋_GB2312"/>
          <w:sz w:val="24"/>
          <w:szCs w:val="24"/>
        </w:rPr>
        <w:t>8.与本磋商有关的正式通讯地址为：</w:t>
      </w:r>
    </w:p>
    <w:p>
      <w:pPr>
        <w:ind w:firstLine="480" w:firstLineChars="200"/>
        <w:rPr>
          <w:rFonts w:ascii="仿宋_GB2312" w:hAnsi="宋体" w:eastAsia="仿宋_GB2312"/>
          <w:sz w:val="24"/>
          <w:szCs w:val="24"/>
        </w:rPr>
      </w:pPr>
      <w:r>
        <w:rPr>
          <w:rFonts w:hint="eastAsia" w:ascii="仿宋_GB2312" w:hAnsi="宋体" w:eastAsia="仿宋_GB2312"/>
          <w:sz w:val="24"/>
          <w:szCs w:val="24"/>
        </w:rPr>
        <w:t>地址：</w:t>
      </w:r>
    </w:p>
    <w:p>
      <w:pPr>
        <w:ind w:firstLine="480" w:firstLineChars="200"/>
        <w:rPr>
          <w:rFonts w:ascii="仿宋_GB2312" w:hAnsi="宋体" w:eastAsia="仿宋_GB2312"/>
          <w:sz w:val="24"/>
          <w:szCs w:val="24"/>
        </w:rPr>
      </w:pPr>
      <w:r>
        <w:rPr>
          <w:rFonts w:hint="eastAsia" w:ascii="仿宋_GB2312" w:hAnsi="宋体" w:eastAsia="仿宋_GB2312"/>
          <w:sz w:val="24"/>
          <w:szCs w:val="24"/>
        </w:rPr>
        <w:t>邮编：</w:t>
      </w:r>
    </w:p>
    <w:p>
      <w:pPr>
        <w:ind w:firstLine="480" w:firstLineChars="200"/>
        <w:rPr>
          <w:rFonts w:ascii="仿宋_GB2312" w:hAnsi="宋体" w:eastAsia="仿宋_GB2312"/>
          <w:sz w:val="24"/>
          <w:szCs w:val="24"/>
        </w:rPr>
      </w:pPr>
      <w:r>
        <w:rPr>
          <w:rFonts w:hint="eastAsia" w:ascii="仿宋_GB2312" w:hAnsi="宋体" w:eastAsia="仿宋_GB2312"/>
          <w:sz w:val="24"/>
          <w:szCs w:val="24"/>
        </w:rPr>
        <w:t>电话：</w:t>
      </w:r>
    </w:p>
    <w:p>
      <w:pPr>
        <w:ind w:firstLine="480" w:firstLineChars="200"/>
        <w:rPr>
          <w:rFonts w:ascii="仿宋_GB2312" w:hAnsi="宋体" w:eastAsia="仿宋_GB2312"/>
          <w:sz w:val="24"/>
          <w:szCs w:val="24"/>
        </w:rPr>
      </w:pPr>
      <w:r>
        <w:rPr>
          <w:rFonts w:hint="eastAsia" w:ascii="仿宋_GB2312" w:hAnsi="宋体" w:eastAsia="仿宋_GB2312"/>
          <w:sz w:val="24"/>
          <w:szCs w:val="24"/>
        </w:rPr>
        <w:t>传真：</w:t>
      </w:r>
    </w:p>
    <w:p>
      <w:pPr>
        <w:ind w:firstLine="480" w:firstLineChars="200"/>
        <w:rPr>
          <w:rFonts w:ascii="仿宋_GB2312" w:hAnsi="宋体" w:eastAsia="仿宋_GB2312"/>
          <w:sz w:val="24"/>
          <w:szCs w:val="24"/>
        </w:rPr>
      </w:pPr>
      <w:r>
        <w:rPr>
          <w:rFonts w:hint="eastAsia" w:ascii="仿宋_GB2312" w:hAnsi="宋体" w:eastAsia="仿宋_GB2312"/>
          <w:sz w:val="24"/>
          <w:szCs w:val="24"/>
        </w:rPr>
        <w:t>供应商开户行：</w:t>
      </w: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账户：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供应商授权代表姓名（签字）：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供应商名称（公章）：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日期：________年</w:t>
      </w:r>
      <w:r>
        <w:rPr>
          <w:rFonts w:hint="eastAsia" w:ascii="仿宋_GB2312" w:hAnsi="宋体" w:eastAsia="仿宋_GB2312"/>
          <w:sz w:val="24"/>
          <w:szCs w:val="24"/>
          <w:u w:val="single"/>
        </w:rPr>
        <w:t>_    __</w:t>
      </w:r>
      <w:r>
        <w:rPr>
          <w:rFonts w:hint="eastAsia" w:ascii="仿宋_GB2312" w:hAnsi="宋体" w:eastAsia="仿宋_GB2312"/>
          <w:sz w:val="24"/>
          <w:szCs w:val="24"/>
        </w:rPr>
        <w:t>月</w:t>
      </w:r>
      <w:r>
        <w:rPr>
          <w:rFonts w:hint="eastAsia" w:ascii="仿宋_GB2312" w:hAnsi="宋体" w:eastAsia="仿宋_GB2312"/>
          <w:sz w:val="24"/>
          <w:szCs w:val="24"/>
          <w:u w:val="single"/>
        </w:rPr>
        <w:t>__   __</w:t>
      </w:r>
      <w:r>
        <w:rPr>
          <w:rFonts w:hint="eastAsia" w:ascii="仿宋_GB2312" w:hAnsi="宋体" w:eastAsia="仿宋_GB2312"/>
          <w:sz w:val="24"/>
          <w:szCs w:val="24"/>
        </w:rPr>
        <w:t>日</w:t>
      </w:r>
    </w:p>
    <w:p>
      <w:pPr>
        <w:rPr>
          <w:b/>
          <w:bCs/>
          <w:sz w:val="24"/>
        </w:rPr>
      </w:pPr>
    </w:p>
    <w:p>
      <w:pPr>
        <w:rPr>
          <w:b/>
          <w:bCs/>
          <w:sz w:val="24"/>
        </w:rPr>
      </w:pPr>
    </w:p>
    <w:p>
      <w:pPr>
        <w:rPr>
          <w:rFonts w:hint="eastAsia"/>
          <w:b/>
          <w:bCs/>
          <w:sz w:val="24"/>
        </w:rPr>
      </w:pPr>
      <w:r>
        <w:rPr>
          <w:rFonts w:hint="eastAsia"/>
          <w:b/>
          <w:bCs/>
          <w:sz w:val="24"/>
        </w:rPr>
        <w:t>五、 投标文件</w:t>
      </w:r>
      <w:r>
        <w:rPr>
          <w:rFonts w:hint="eastAsia"/>
          <w:b/>
          <w:bCs/>
          <w:sz w:val="24"/>
          <w:lang w:eastAsia="zh-CN"/>
        </w:rPr>
        <w:t>应</w:t>
      </w:r>
      <w:r>
        <w:rPr>
          <w:rFonts w:hint="eastAsia"/>
          <w:b/>
          <w:bCs/>
          <w:sz w:val="24"/>
        </w:rPr>
        <w:t>包含</w:t>
      </w:r>
      <w:r>
        <w:rPr>
          <w:rFonts w:hint="eastAsia"/>
          <w:b/>
          <w:bCs/>
          <w:sz w:val="24"/>
          <w:lang w:eastAsia="zh-CN"/>
        </w:rPr>
        <w:t>资信、技术方案、服务人员配备等</w:t>
      </w:r>
      <w:r>
        <w:rPr>
          <w:rFonts w:hint="eastAsia"/>
          <w:b/>
          <w:bCs/>
          <w:sz w:val="24"/>
        </w:rPr>
        <w:t>需要提供的其它材料。</w:t>
      </w:r>
    </w:p>
    <w:p>
      <w:pPr>
        <w:rPr>
          <w:rFonts w:hint="eastAsia"/>
          <w:b/>
          <w:bCs/>
          <w:sz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r>
        <w:rPr>
          <w:rFonts w:hint="eastAsia" w:ascii="宋体" w:hAnsi="宋体"/>
          <w:b/>
          <w:sz w:val="24"/>
          <w:szCs w:val="24"/>
        </w:rPr>
        <w:br w:type="page"/>
      </w:r>
    </w:p>
    <w:p>
      <w:pPr>
        <w:rPr>
          <w:rFonts w:ascii="宋体" w:hAnsi="宋体"/>
          <w:b/>
          <w:sz w:val="24"/>
          <w:szCs w:val="24"/>
        </w:rPr>
      </w:pPr>
      <w:r>
        <w:rPr>
          <w:rFonts w:hint="eastAsia" w:ascii="宋体" w:hAnsi="宋体"/>
          <w:b/>
          <w:sz w:val="24"/>
          <w:szCs w:val="24"/>
        </w:rPr>
        <w:t>附件1：</w:t>
      </w:r>
    </w:p>
    <w:p>
      <w:pPr>
        <w:spacing w:line="560" w:lineRule="exact"/>
        <w:jc w:val="center"/>
        <w:rPr>
          <w:rFonts w:ascii="华文中宋" w:hAnsi="华文中宋" w:eastAsia="华文中宋"/>
          <w:b/>
          <w:sz w:val="36"/>
          <w:szCs w:val="36"/>
        </w:rPr>
      </w:pPr>
    </w:p>
    <w:p>
      <w:pPr>
        <w:spacing w:line="560" w:lineRule="exact"/>
        <w:jc w:val="center"/>
        <w:rPr>
          <w:rFonts w:ascii="仿宋_GB2312" w:hAnsi="华文中宋" w:eastAsia="仿宋_GB2312"/>
          <w:b/>
          <w:sz w:val="36"/>
          <w:szCs w:val="36"/>
        </w:rPr>
      </w:pPr>
      <w:r>
        <w:rPr>
          <w:rFonts w:hint="eastAsia" w:ascii="仿宋_GB2312" w:hAnsi="华文中宋" w:eastAsia="仿宋_GB2312"/>
          <w:b/>
          <w:sz w:val="36"/>
          <w:szCs w:val="36"/>
        </w:rPr>
        <w:t>皖南医学院采购质疑与投诉办法（试行）</w:t>
      </w:r>
    </w:p>
    <w:p>
      <w:pPr>
        <w:spacing w:before="240" w:beforeLines="100" w:after="240" w:afterLines="100"/>
        <w:jc w:val="center"/>
        <w:rPr>
          <w:rFonts w:ascii="仿宋_GB2312" w:hAnsi="宋体" w:eastAsia="仿宋_GB2312" w:cs="宋体"/>
          <w:color w:val="333333"/>
          <w:szCs w:val="28"/>
        </w:rPr>
      </w:pPr>
      <w:bookmarkStart w:id="133" w:name="_Toc374453341"/>
      <w:r>
        <w:rPr>
          <w:rFonts w:hint="eastAsia" w:ascii="仿宋_GB2312" w:hAnsi="黑体" w:eastAsia="仿宋_GB2312" w:cs="宋体"/>
          <w:b/>
          <w:bCs/>
          <w:color w:val="333333"/>
          <w:szCs w:val="28"/>
        </w:rPr>
        <w:t>第一章</w:t>
      </w:r>
      <w:r>
        <w:rPr>
          <w:rFonts w:hint="eastAsia" w:ascii="宋体" w:hAnsi="宋体" w:eastAsia="仿宋_GB2312"/>
          <w:color w:val="333333"/>
          <w:szCs w:val="28"/>
        </w:rPr>
        <w:t>  </w:t>
      </w:r>
      <w:r>
        <w:rPr>
          <w:rFonts w:hint="eastAsia" w:ascii="仿宋_GB2312" w:hAnsi="黑体" w:eastAsia="仿宋_GB2312" w:cs="宋体"/>
          <w:b/>
          <w:bCs/>
          <w:color w:val="333333"/>
          <w:szCs w:val="28"/>
        </w:rPr>
        <w:t>总 则</w:t>
      </w:r>
      <w:bookmarkEnd w:id="133"/>
      <w:r>
        <w:rPr>
          <w:rFonts w:hint="eastAsia" w:ascii="宋体" w:hAnsi="宋体" w:eastAsia="仿宋_GB2312"/>
          <w:color w:val="333333"/>
          <w:szCs w:val="28"/>
        </w:rPr>
        <w:t> </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 第一条  </w:t>
      </w:r>
      <w:r>
        <w:rPr>
          <w:rFonts w:hint="eastAsia" w:ascii="仿宋_GB2312" w:hAnsi="宋体" w:eastAsia="仿宋_GB2312" w:cs="宋体"/>
          <w:color w:val="333333"/>
          <w:szCs w:val="28"/>
        </w:rPr>
        <w:t>为规范学校采购活动质疑和投诉行为，确保采购活动公平竞争、合理运转，保护参加学校采购活动当事人的合法权益，根据《中华人民共和国政府采购法》《中华人 民共和国政府采购法实施条例》《中华人民共和国招标投标法》《中华人民共和国招标投标法实施条例》《政府采购质疑 和投诉办法》（财政部令第 94 号）和安徽省政府有关文件精神，结合学校实际，制定本办法。</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第二条</w:t>
      </w:r>
      <w:r>
        <w:rPr>
          <w:spacing w:val="98"/>
        </w:rPr>
        <w:t xml:space="preserve"> </w:t>
      </w:r>
      <w:r>
        <w:rPr>
          <w:rFonts w:hint="eastAsia" w:ascii="仿宋_GB2312" w:hAnsi="宋体" w:eastAsia="仿宋_GB2312" w:cs="宋体"/>
          <w:color w:val="333333"/>
          <w:szCs w:val="28"/>
        </w:rPr>
        <w:t>本办法适用于学校采购活动质疑的提出与答复、投诉的提起与处理。</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第三条</w:t>
      </w:r>
      <w:r>
        <w:rPr>
          <w:rFonts w:hint="eastAsia" w:ascii="仿宋_GB2312" w:hAnsi="宋体" w:eastAsia="仿宋_GB2312" w:cs="宋体"/>
          <w:color w:val="333333"/>
          <w:szCs w:val="28"/>
        </w:rPr>
        <w:t xml:space="preserve">  学校政府采购中的集中采购和分散采购项目质 疑的提出与答复和投诉的提起与处理遵照《政府采购质疑和投诉办法》（财政部令第 94 号）和安徽省有关规定执行。对 适用于招投标法的工程项目的异议的提出与答复、投诉与处理等，按照招投标法及实施条例和工程建设项目招标投标 活动投诉处理等规定执行。上级政策如有调整，按最新政策规定执行。</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第四条  </w:t>
      </w:r>
      <w:r>
        <w:rPr>
          <w:rFonts w:hint="eastAsia" w:ascii="仿宋_GB2312" w:hAnsi="宋体" w:eastAsia="仿宋_GB2312" w:cs="宋体"/>
          <w:color w:val="333333"/>
          <w:szCs w:val="28"/>
        </w:rPr>
        <w:t>供应商提出质疑和投诉应当坚持依法依规、诚实信用原则。</w:t>
      </w:r>
    </w:p>
    <w:p>
      <w:pPr>
        <w:pStyle w:val="11"/>
        <w:spacing w:after="0"/>
        <w:ind w:right="107"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第五条</w:t>
      </w:r>
      <w:r>
        <w:rPr>
          <w:rFonts w:hint="eastAsia" w:ascii="仿宋_GB2312" w:hAnsi="宋体" w:eastAsia="仿宋_GB2312" w:cs="宋体"/>
          <w:color w:val="333333"/>
          <w:szCs w:val="28"/>
        </w:rPr>
        <w:t xml:space="preserve">  采购质疑答复和投诉处理应当坚持依法依规、权责对等、公平公正、简便高效原则。</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第六条  </w:t>
      </w:r>
      <w:r>
        <w:rPr>
          <w:rFonts w:hint="eastAsia" w:ascii="仿宋_GB2312" w:hAnsi="宋体" w:eastAsia="仿宋_GB2312" w:cs="宋体"/>
          <w:color w:val="333333"/>
          <w:szCs w:val="28"/>
        </w:rPr>
        <w:t>在校内自主采购活动中，采购人负责供应商质疑答复。采购组织形式为学校统一采购的，由学校国有资产管理处（以下简称“国资处”）负责供应商质疑答复； 采购组织形式为部门自行采购的，由项目单位（采购项目所在的部门）负责供应商质疑答复；学校委托采购代理机构采购的，由采购代理机构在委托授权范围内作出答复。</w:t>
      </w:r>
    </w:p>
    <w:p>
      <w:pPr>
        <w:pStyle w:val="11"/>
        <w:spacing w:after="0"/>
        <w:ind w:right="26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第七条</w:t>
      </w:r>
      <w:r>
        <w:rPr>
          <w:rFonts w:hint="eastAsia" w:ascii="仿宋_GB2312" w:hAnsi="宋体" w:eastAsia="仿宋_GB2312" w:cs="宋体"/>
          <w:color w:val="333333"/>
          <w:szCs w:val="28"/>
        </w:rPr>
        <w:t xml:space="preserve">  国资处、项目单位、采购代理机构应当在采购文件中载明接收质疑函和受理投诉的方式、联系部门、联系电话和通讯地址等信息。</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第八条</w:t>
      </w:r>
      <w:r>
        <w:tab/>
      </w:r>
      <w:r>
        <w:rPr>
          <w:rFonts w:hint="eastAsia"/>
        </w:rPr>
        <w:t xml:space="preserve"> </w:t>
      </w:r>
      <w:r>
        <w:rPr>
          <w:rFonts w:hint="eastAsia" w:ascii="仿宋_GB2312" w:hAnsi="宋体" w:eastAsia="仿宋_GB2312" w:cs="宋体"/>
          <w:color w:val="333333"/>
          <w:szCs w:val="28"/>
        </w:rPr>
        <w:t>供应商可以委托代理人进行质疑和投诉。其授权委托书应当载明代理人的姓名或者单位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pStyle w:val="11"/>
        <w:spacing w:after="0"/>
        <w:ind w:right="26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第九条</w:t>
      </w:r>
      <w:r>
        <w:rPr>
          <w:spacing w:val="97"/>
        </w:rPr>
        <w:t xml:space="preserve"> </w:t>
      </w:r>
      <w:r>
        <w:rPr>
          <w:rFonts w:hint="eastAsia" w:ascii="仿宋_GB2312" w:hAnsi="宋体" w:eastAsia="仿宋_GB2312" w:cs="宋体"/>
          <w:color w:val="333333"/>
          <w:szCs w:val="28"/>
        </w:rPr>
        <w:t>以联合体形式参加学校采购活动的，其投诉应当由组成联合体的所有供应商共同提出。</w:t>
      </w:r>
    </w:p>
    <w:p>
      <w:pPr>
        <w:spacing w:before="240" w:beforeLines="100" w:after="240" w:afterLines="100"/>
        <w:jc w:val="center"/>
        <w:rPr>
          <w:rFonts w:ascii="仿宋_GB2312" w:hAnsi="黑体" w:eastAsia="仿宋_GB2312" w:cs="宋体"/>
          <w:b/>
          <w:bCs/>
          <w:color w:val="333333"/>
          <w:szCs w:val="28"/>
        </w:rPr>
      </w:pPr>
      <w:r>
        <w:rPr>
          <w:rFonts w:hint="eastAsia" w:ascii="仿宋_GB2312" w:hAnsi="黑体" w:eastAsia="仿宋_GB2312" w:cs="宋体"/>
          <w:b/>
          <w:bCs/>
          <w:color w:val="333333"/>
          <w:szCs w:val="28"/>
        </w:rPr>
        <w:t>第二章 质疑的提出</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第十条  </w:t>
      </w:r>
      <w:r>
        <w:rPr>
          <w:rFonts w:hint="eastAsia" w:ascii="仿宋_GB2312" w:hAnsi="宋体" w:eastAsia="仿宋_GB2312" w:cs="宋体"/>
          <w:color w:val="333333"/>
          <w:szCs w:val="28"/>
        </w:rPr>
        <w:t>校内自主采购活动中，供应商认为采购文件、采购过程、中标或者成交结果使自己的权益受到损害的，可以在知道或者应知其权益受到损害之日起 7 个工作日内，以书面形式向国资处、项目单位、采购代理机构提出质疑。采购文件可以要求供应商在质疑期内一次性提出针对同一采购程序环节的质疑。</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第十一条  </w:t>
      </w:r>
      <w:r>
        <w:rPr>
          <w:rFonts w:hint="eastAsia" w:ascii="仿宋_GB2312" w:hAnsi="宋体" w:eastAsia="仿宋_GB2312" w:cs="宋体"/>
          <w:color w:val="333333"/>
          <w:szCs w:val="28"/>
        </w:rPr>
        <w:t>校内自主采购活动中，提出质疑的供应商（以下简称质疑供应商）应当是参与所质疑项目采购活动的供应商。潜在供应商已依法依规获取其可质疑的采购文件的，可以对该文件提出质疑。对采购文件提出质疑的，应当在采购文件规定的时间内提出。</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第十二条  </w:t>
      </w:r>
      <w:r>
        <w:rPr>
          <w:rFonts w:hint="eastAsia" w:ascii="仿宋_GB2312" w:hAnsi="宋体" w:eastAsia="仿宋_GB2312" w:cs="宋体"/>
          <w:color w:val="333333"/>
          <w:szCs w:val="28"/>
        </w:rPr>
        <w:t>校内自主采购活动中，供应商提出质疑应当提交质疑函和必要的证明材料。质疑函应当包括下列内容：</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（一）供应商的姓名或者单位名称、地址、邮编、联系人及联系电话；</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（二）质疑项目的名称、编号；</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（三）具体、明确的质疑事项和与质疑事项相关的请求；</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（四）事实依据；</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（五）必要的法律依据；</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（六）提出质疑的日期。供应商为自然人的，应当由本人签字；供应商为法人或者其他组织的，应当由法定代表人、主要负责人，或者其授权代表签字或者盖章，并加盖公章。</w:t>
      </w:r>
    </w:p>
    <w:p>
      <w:pPr>
        <w:pStyle w:val="11"/>
        <w:spacing w:after="0"/>
        <w:ind w:right="259" w:firstLine="640"/>
      </w:pPr>
      <w:r>
        <w:rPr>
          <w:rFonts w:hint="eastAsia" w:ascii="仿宋_GB2312" w:hAnsi="宋体" w:eastAsia="仿宋_GB2312" w:cs="宋体"/>
          <w:b/>
          <w:bCs/>
          <w:color w:val="333333"/>
          <w:szCs w:val="28"/>
        </w:rPr>
        <w:t xml:space="preserve">第十三条  </w:t>
      </w:r>
      <w:r>
        <w:rPr>
          <w:rFonts w:hint="eastAsia" w:ascii="仿宋_GB2312" w:hAnsi="宋体" w:eastAsia="仿宋_GB2312" w:cs="宋体"/>
          <w:color w:val="333333"/>
          <w:szCs w:val="28"/>
        </w:rPr>
        <w:t>供应商的书面质疑如不符合本办法第十二条的规定，国资处、项目单位、采购代理机构应及时书面告知其补充或修改书面质疑材料的具体内容，并规定重新提交书面质疑的期限。</w:t>
      </w:r>
    </w:p>
    <w:p>
      <w:pPr>
        <w:spacing w:before="240" w:beforeLines="100" w:after="240" w:afterLines="100"/>
        <w:jc w:val="center"/>
        <w:rPr>
          <w:rFonts w:ascii="仿宋_GB2312" w:hAnsi="微软雅黑" w:eastAsia="仿宋_GB2312"/>
          <w:color w:val="3E3E3E"/>
          <w:szCs w:val="28"/>
        </w:rPr>
      </w:pPr>
      <w:r>
        <w:rPr>
          <w:rFonts w:hint="eastAsia" w:ascii="仿宋_GB2312" w:hAnsi="黑体" w:eastAsia="仿宋_GB2312"/>
          <w:b/>
          <w:color w:val="3E3E3E"/>
          <w:szCs w:val="28"/>
        </w:rPr>
        <w:t>第三章  质疑的答复</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第十四条  </w:t>
      </w:r>
      <w:r>
        <w:rPr>
          <w:rFonts w:hint="eastAsia" w:ascii="仿宋_GB2312" w:hAnsi="宋体" w:eastAsia="仿宋_GB2312" w:cs="Calibri"/>
          <w:color w:val="333333"/>
          <w:szCs w:val="28"/>
        </w:rPr>
        <w:t>校内自主采购活动中，国资处、项目单位、采购代理机构不得拒收质疑供应商在法定质疑期内发出的质疑函，应当在收到质疑函后 7 个工作日内作出答复，并以书面形式通知质疑供应商。</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第十五条  </w:t>
      </w:r>
      <w:r>
        <w:rPr>
          <w:rFonts w:hint="eastAsia" w:ascii="仿宋_GB2312" w:hAnsi="宋体" w:eastAsia="仿宋_GB2312" w:cs="Calibri"/>
          <w:color w:val="333333"/>
          <w:szCs w:val="28"/>
        </w:rPr>
        <w:t>供应商的书面质疑属于下列情形之一的，国资处、项目单位、采购代理机构可不予受理，并以书面形式告知其不予受理的原因：</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（一）未通过资格审核，或未参与该采购项目活动的供应商；</w:t>
      </w:r>
    </w:p>
    <w:p>
      <w:pPr>
        <w:pStyle w:val="11"/>
        <w:spacing w:after="0"/>
        <w:ind w:right="247" w:firstLine="640"/>
        <w:rPr>
          <w:w w:val="99"/>
        </w:rPr>
      </w:pPr>
      <w:r>
        <w:rPr>
          <w:rFonts w:hint="eastAsia" w:ascii="仿宋_GB2312" w:hAnsi="宋体" w:eastAsia="仿宋_GB2312" w:cs="Calibri"/>
          <w:color w:val="333333"/>
          <w:szCs w:val="28"/>
        </w:rPr>
        <w:t>（二）已超过法律规定或采购文件约定的质疑期限。</w:t>
      </w:r>
      <w:r>
        <w:rPr>
          <w:w w:val="99"/>
        </w:rPr>
        <w:t xml:space="preserve"> </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第十六条  </w:t>
      </w:r>
      <w:r>
        <w:rPr>
          <w:rFonts w:hint="eastAsia" w:ascii="仿宋_GB2312" w:hAnsi="宋体" w:eastAsia="仿宋_GB2312" w:cs="Calibri"/>
          <w:color w:val="333333"/>
          <w:szCs w:val="28"/>
        </w:rPr>
        <w:t>国资处、项目单位可就供应商的质疑事项进行调查取证，有关当事人应当如实反映情况和提供有关材料。</w:t>
      </w:r>
    </w:p>
    <w:p>
      <w:pPr>
        <w:pStyle w:val="11"/>
        <w:spacing w:after="0"/>
        <w:ind w:right="10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第十七条  </w:t>
      </w:r>
      <w:r>
        <w:rPr>
          <w:rFonts w:hint="eastAsia" w:ascii="仿宋_GB2312" w:hAnsi="宋体" w:eastAsia="仿宋_GB2312" w:cs="Calibri"/>
          <w:color w:val="333333"/>
          <w:szCs w:val="28"/>
        </w:rPr>
        <w:t>校内自主采购活动中，供应商对评审过程、中标或者成交结果提出质疑的，国资处、项目单位、采购代理机构可以组织原采购评审小组共同答复质疑。</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第十八条  </w:t>
      </w:r>
      <w:r>
        <w:rPr>
          <w:rFonts w:hint="eastAsia" w:ascii="仿宋_GB2312" w:hAnsi="宋体" w:eastAsia="仿宋_GB2312" w:cs="Calibri"/>
          <w:color w:val="333333"/>
          <w:szCs w:val="28"/>
        </w:rPr>
        <w:t>校内自主采购活动中，质疑答复应当包括下列内容：</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（一）质疑供应商的姓名或者单位名称；</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（二）收到质疑函的日期、质疑项目名称及编号；</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（三）质疑事项、质疑答复的具体内容、事实依据和法律及相关政策规定等依据；</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（四）告知质疑供应商依法投诉的权利；</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（五）质疑答复人名称；</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（六）答复质疑的日期。</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质疑答复的内容不得涉及商业秘密。</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第十九条  </w:t>
      </w:r>
      <w:r>
        <w:rPr>
          <w:rFonts w:hint="eastAsia" w:ascii="仿宋_GB2312" w:hAnsi="宋体" w:eastAsia="仿宋_GB2312" w:cs="Calibri"/>
          <w:color w:val="333333"/>
          <w:szCs w:val="28"/>
        </w:rPr>
        <w:t>校内自主采购活动中，国资处、项目单位、采购代理机构认为供应商质疑不成立，或者成立但未对中标、成交结果构成影响的，继续开展采购活动；认为供应商质疑成立且影响或者可能影响中标、成交结果的，按照下列情况处理：</w:t>
      </w:r>
    </w:p>
    <w:p>
      <w:pPr>
        <w:pStyle w:val="11"/>
        <w:spacing w:after="0"/>
        <w:ind w:right="247" w:firstLine="480"/>
        <w:rPr>
          <w:rFonts w:ascii="仿宋_GB2312" w:hAnsi="宋体" w:eastAsia="仿宋_GB2312" w:cs="Calibri"/>
          <w:color w:val="333333"/>
          <w:szCs w:val="28"/>
        </w:rPr>
      </w:pPr>
      <w:r>
        <w:rPr>
          <w:rFonts w:hint="eastAsia" w:ascii="仿宋_GB2312" w:hAnsi="宋体" w:eastAsia="仿宋_GB2312" w:cs="Calibri"/>
          <w:color w:val="333333"/>
          <w:szCs w:val="28"/>
        </w:rPr>
        <w:t>（一）对采购文件提出的质疑，依法通过澄清或者修改可以继续开展采购活动的，澄清或者修改采购文件后继续开展采购活动；否则应当修改采购文件后重新开展采购活动；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11"/>
        <w:spacing w:after="0"/>
        <w:ind w:firstLine="640"/>
        <w:jc w:val="left"/>
        <w:rPr>
          <w:rFonts w:ascii="仿宋_GB2312" w:hAnsi="宋体" w:eastAsia="仿宋_GB2312" w:cs="Calibri"/>
          <w:color w:val="333333"/>
          <w:szCs w:val="28"/>
        </w:rPr>
      </w:pPr>
      <w:r>
        <w:rPr>
          <w:rFonts w:hint="eastAsia" w:ascii="仿宋_GB2312" w:hAnsi="宋体" w:eastAsia="仿宋_GB2312" w:cs="Calibri"/>
          <w:color w:val="333333"/>
          <w:szCs w:val="28"/>
        </w:rPr>
        <w:t>质疑答复导致中标、成交结果改变的，国资处、项目单位应当将有关情况书面报告纪委办公室。</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第四章  投诉的提起</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第二十条  </w:t>
      </w:r>
      <w:r>
        <w:rPr>
          <w:rFonts w:hint="eastAsia" w:ascii="仿宋_GB2312" w:hAnsi="宋体" w:eastAsia="仿宋_GB2312" w:cs="Calibri"/>
          <w:color w:val="333333"/>
          <w:szCs w:val="28"/>
        </w:rPr>
        <w:t>校内自主采购活动中，校纪委办公室负责接收和处理供应商的投诉。质疑供应商对国资处、项目单位、采购代理机构的答复不满意，或者国资处、项目单位、采购代理机构未在规定时间内作出答复的，可以在答复期满后7个工作日内向学校纪委办公室提起投诉。国资处、项目单位、采购代理机构在采购活动中未正常履职、存在违规违纪行为的，可向学校纪委办公室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第二十一条</w:t>
      </w:r>
      <w:r>
        <w:tab/>
      </w:r>
      <w:r>
        <w:rPr>
          <w:rFonts w:hint="eastAsia" w:ascii="仿宋_GB2312" w:hAnsi="宋体" w:eastAsia="仿宋_GB2312" w:cs="Calibri"/>
          <w:color w:val="333333"/>
          <w:szCs w:val="28"/>
        </w:rPr>
        <w:t>校内自主采购活动中，投诉人投诉时,应当提交投诉书和必要的证明材料。投诉书应当包括下列内容：</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（一）投诉人和被投诉人的姓名或者单位名称、通讯地 址、邮编、联系人及联系电话；</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（二）质疑和质疑答复情况说明及相关证明材料；</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（三）具体、明确的投诉事项和与投诉事项相关的投诉请求；</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（四）事实依据；</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（五）法律依据；</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 xml:space="preserve">（六）提起投诉的日期。 </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投诉人为自然人的，应当由本人签字；投诉人为法人或者其他组织的，应当由法定代表人、主要负责人，或者其授权代表签字或者盖章，并加盖公章。</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第二十二条</w:t>
      </w:r>
      <w:r>
        <w:tab/>
      </w:r>
      <w:r>
        <w:rPr>
          <w:rFonts w:hint="eastAsia" w:ascii="仿宋_GB2312" w:hAnsi="宋体" w:eastAsia="仿宋_GB2312" w:cs="Calibri"/>
          <w:color w:val="333333"/>
          <w:szCs w:val="28"/>
        </w:rPr>
        <w:t>投诉人应当根据本办法第七条规定的信息内容，并按照其规定的方式提起投诉。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投诉人提起投诉应当符合下列条件：</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（一）提起投诉前已依法、依规进行质疑；</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（二）投诉书内容符合本办法的规定；</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（三）在投诉有效期限内提起投诉；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（四）同一投诉事项未经投诉处理。</w:t>
      </w:r>
    </w:p>
    <w:p>
      <w:pPr>
        <w:pStyle w:val="11"/>
        <w:tabs>
          <w:tab w:val="left" w:pos="2762"/>
        </w:tabs>
        <w:spacing w:after="0"/>
        <w:ind w:right="122" w:firstLine="64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第二十三条  </w:t>
      </w:r>
      <w:r>
        <w:rPr>
          <w:rFonts w:hint="eastAsia" w:ascii="仿宋_GB2312" w:hAnsi="宋体" w:eastAsia="仿宋_GB2312" w:cs="Calibri"/>
          <w:color w:val="333333"/>
          <w:szCs w:val="28"/>
        </w:rPr>
        <w:t>供应商投诉的事项不得超出已质疑事项的范围，但基于质疑答复内容提出的投诉事项除外。</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第五章  投诉的处理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第二十四条  </w:t>
      </w:r>
      <w:r>
        <w:rPr>
          <w:rFonts w:hint="eastAsia" w:ascii="仿宋_GB2312" w:hAnsi="宋体" w:eastAsia="仿宋_GB2312" w:cs="Calibri"/>
          <w:color w:val="333333"/>
          <w:szCs w:val="28"/>
        </w:rPr>
        <w:t>纪委办公室收到投诉书后，应当在 5 个工作日内进行审查，审查后按照下列情况处理：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（一）投诉书内容不符合本办法第二十一条规定的，应当在收到投诉书 5 个工作日内一次性书面通知投诉人补正。补正通知应当载明需要补正的事项和合理的补正期限。未按照补正期限进行补正或者补正后仍不符合规定的，不予受理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（二）投诉不符合本办法第二十二条规定条件的，应当在 3 个工作日内书面告知投诉人不予受理，并说明理由；</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（三）投诉不属于本部门管辖的，应当在 3 个工作日内书面告知投诉人向有管辖权的部门提起投诉；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（四）投诉符合本办法第二十一条、第二十二条规定的，自收到投诉书之日起即为受理，并在收到投诉后 8 个工作日 内向被投诉人和其他与投诉事项有关的当事人发出投诉答复通知书及投诉书副本。</w:t>
      </w:r>
    </w:p>
    <w:p>
      <w:pPr>
        <w:pStyle w:val="11"/>
        <w:spacing w:after="0"/>
        <w:ind w:right="262"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第二十五条</w:t>
      </w:r>
      <w:r>
        <w:rPr>
          <w:spacing w:val="99"/>
        </w:rPr>
        <w:t xml:space="preserve"> </w:t>
      </w:r>
      <w:r>
        <w:rPr>
          <w:rFonts w:hint="eastAsia" w:ascii="仿宋_GB2312" w:hAnsi="宋体" w:eastAsia="仿宋_GB2312" w:cs="Calibri"/>
          <w:color w:val="333333"/>
          <w:szCs w:val="28"/>
        </w:rPr>
        <w:t>国资处、项目单位和其他与投诉事项有关的当事人应当在收到投诉答复通知书及投诉书副本之日起 5 个工作日内，以书面形式向纪委办公室作出说明，并提交相关证据、依据和其他有关材料。</w:t>
      </w:r>
    </w:p>
    <w:p>
      <w:pPr>
        <w:pStyle w:val="11"/>
        <w:spacing w:after="0"/>
        <w:ind w:right="262"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第二十六条</w:t>
      </w:r>
      <w:r>
        <w:rPr>
          <w:spacing w:val="124"/>
        </w:rPr>
        <w:t xml:space="preserve"> </w:t>
      </w:r>
      <w:r>
        <w:rPr>
          <w:rFonts w:hint="eastAsia" w:ascii="仿宋_GB2312" w:hAnsi="宋体" w:eastAsia="仿宋_GB2312" w:cs="Calibri"/>
          <w:color w:val="333333"/>
          <w:szCs w:val="28"/>
        </w:rPr>
        <w:t>纪委办公室处理投诉事项原则上采用书面审查的方式。纪委办公室认为有必要时，可以进行调查取证或者组织质证。</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第二十七条</w:t>
      </w:r>
      <w:r>
        <w:rPr>
          <w:spacing w:val="101"/>
        </w:rPr>
        <w:t xml:space="preserve"> </w:t>
      </w:r>
      <w:r>
        <w:rPr>
          <w:rFonts w:hint="eastAsia" w:ascii="仿宋_GB2312" w:hAnsi="宋体" w:eastAsia="仿宋_GB2312" w:cs="Calibri"/>
          <w:color w:val="333333"/>
          <w:szCs w:val="28"/>
        </w:rPr>
        <w:t>纪委办公室可以根据法律、法规规定或者职责权限，委托相关单位或者第三方开展调查取证、检验、检测、鉴定。质证应当通知相关当事人到场，并制作质证笔录。质证笔录应当由当事人签字确认。</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第二十八条</w:t>
      </w:r>
      <w:r>
        <w:rPr>
          <w:spacing w:val="98"/>
        </w:rPr>
        <w:t xml:space="preserve"> </w:t>
      </w:r>
      <w:r>
        <w:rPr>
          <w:rFonts w:hint="eastAsia" w:ascii="仿宋_GB2312" w:hAnsi="宋体" w:eastAsia="仿宋_GB2312" w:cs="Calibri"/>
          <w:color w:val="333333"/>
          <w:szCs w:val="28"/>
        </w:rPr>
        <w:t>纪委办公室依法、依规进行调查取证时，投诉人、国资处、项目单位以及与投诉事项有关的部门及人员应当如实反映情况，并提供纪委办公室所需要的相关材料。</w:t>
      </w:r>
    </w:p>
    <w:p>
      <w:pPr>
        <w:pStyle w:val="11"/>
        <w:spacing w:after="0"/>
        <w:ind w:right="101"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第二十九条</w:t>
      </w:r>
      <w:r>
        <w:rPr>
          <w:spacing w:val="116"/>
        </w:rPr>
        <w:t xml:space="preserve"> </w:t>
      </w:r>
      <w:r>
        <w:rPr>
          <w:rFonts w:hint="eastAsia" w:ascii="仿宋_GB2312" w:hAnsi="宋体" w:eastAsia="仿宋_GB2312" w:cs="Calibri"/>
          <w:color w:val="333333"/>
          <w:szCs w:val="28"/>
        </w:rPr>
        <w:t>应当由投诉人承担举证责任的投诉事项， 投诉人未提供相关证据、依据和其他有关材料的，视为该投诉事项不成立；国资处、项目单位以及与投诉事项有关的部门及人员未按照投诉答复通知书要求提交相关证据、依据和其他有关材料的，视同其放弃说明权利，依法承担不利后果。</w:t>
      </w:r>
    </w:p>
    <w:p>
      <w:pPr>
        <w:pStyle w:val="11"/>
        <w:spacing w:after="0"/>
        <w:ind w:right="26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第三十条 </w:t>
      </w:r>
      <w:r>
        <w:rPr>
          <w:rFonts w:hint="eastAsia" w:ascii="仿宋_GB2312" w:hAnsi="宋体" w:eastAsia="仿宋_GB2312" w:cs="Calibri"/>
          <w:color w:val="333333"/>
          <w:szCs w:val="28"/>
        </w:rPr>
        <w:t>纪委办公室应当自收到投诉之日起 30 个工作日内，对投诉事项作出处理决定。</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第三十一条</w:t>
      </w:r>
      <w:r>
        <w:rPr>
          <w:spacing w:val="100"/>
        </w:rPr>
        <w:t xml:space="preserve"> </w:t>
      </w:r>
      <w:r>
        <w:rPr>
          <w:rFonts w:hint="eastAsia" w:ascii="仿宋_GB2312" w:hAnsi="宋体" w:eastAsia="仿宋_GB2312" w:cs="Calibri"/>
          <w:color w:val="333333"/>
          <w:szCs w:val="28"/>
        </w:rPr>
        <w:t>纪委办公室处理投诉事项，需要检验、检测、鉴定、专家评审以及需要投诉人补正材料的，所需时间不计算在投诉处理期限内。前款所称所需时间，是指纪委办公室向相关单位、第三方、投诉人发出相关文书、补正通知之日至收到相关反馈文书或材料之日。纪委办公室向相关单位、第三方开展检验、检测、鉴定、专家评审的，应当将所需时间告知投诉人。</w:t>
      </w:r>
    </w:p>
    <w:p>
      <w:pPr>
        <w:pStyle w:val="11"/>
        <w:spacing w:after="0"/>
        <w:ind w:right="259"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第三十二条</w:t>
      </w:r>
      <w:r>
        <w:rPr>
          <w:spacing w:val="99"/>
        </w:rPr>
        <w:t xml:space="preserve"> </w:t>
      </w:r>
      <w:r>
        <w:rPr>
          <w:rFonts w:hint="eastAsia" w:ascii="仿宋_GB2312" w:hAnsi="宋体" w:eastAsia="仿宋_GB2312" w:cs="Calibri"/>
          <w:color w:val="333333"/>
          <w:szCs w:val="28"/>
        </w:rPr>
        <w:t>纪委办公室在处理投诉事项期间，可以视具体情况书面通知国资处、项目单位、采购代理机构暂停采购活动，暂停采购活动时间最长不得超过 30 日。</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国资处、项目单位、采购代理机构收到暂停采购活动通知后应当立即中止采购活动，在法定的暂停期限结束前或者 纪委办公室发出恢复采购活动通知前，不得进行该项采购活动。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第三十三条</w:t>
      </w:r>
      <w:r>
        <w:rPr>
          <w:spacing w:val="100"/>
        </w:rPr>
        <w:t xml:space="preserve"> </w:t>
      </w:r>
      <w:r>
        <w:rPr>
          <w:rFonts w:hint="eastAsia" w:ascii="仿宋_GB2312" w:hAnsi="宋体" w:eastAsia="仿宋_GB2312" w:cs="Calibri"/>
          <w:color w:val="333333"/>
          <w:szCs w:val="28"/>
        </w:rPr>
        <w:t>投诉处理过程中，有下列情形之一的，纪委办公室应当驳回投诉：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（一）发现投诉不符合受理条件；</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（二）投诉事项缺乏事实依据，投诉事项不成立；</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（三）投诉人捏造事实或者提供虚假材料；</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（四）投诉人以非法手段取得证明材料。证据来源的合法性存在明显疑问，投诉人无法证明其取得方式合法的，视为以非法手段取得证明材料。</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第三十四条  </w:t>
      </w:r>
      <w:r>
        <w:rPr>
          <w:rFonts w:hint="eastAsia" w:ascii="仿宋_GB2312" w:hAnsi="宋体" w:eastAsia="仿宋_GB2312" w:cs="Calibri"/>
          <w:color w:val="333333"/>
          <w:szCs w:val="28"/>
        </w:rPr>
        <w:t>纪委办公室受理投诉后,投诉人书面申请撤回投诉的，纪委办公室应当终止投诉处理程序，并书面告知相关当事人。</w:t>
      </w:r>
    </w:p>
    <w:p>
      <w:pPr>
        <w:pStyle w:val="11"/>
        <w:spacing w:after="0"/>
        <w:ind w:right="260"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第三十五条  </w:t>
      </w:r>
      <w:r>
        <w:rPr>
          <w:rFonts w:hint="eastAsia" w:ascii="仿宋_GB2312" w:hAnsi="宋体" w:eastAsia="仿宋_GB2312" w:cs="Calibri"/>
          <w:color w:val="333333"/>
          <w:szCs w:val="28"/>
        </w:rPr>
        <w:t>投诉人对采购文件提起的投诉事项，纪委办公室经查证属实的，应当认定投诉事项成立。经认定成立的投诉事项不影响采购结果的，继续开展采购活动；影响或者可能影响采购结果的，纪委办公室按照下列情况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（一）未确定中标或者成交供应商的，责令重新开展采购活动；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（二）已确定中标或者成交供应商但尚未签订采购合同的，认定中标或者成交结果无效，责令重新开展采购活动；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（三）采购合同已经签订但尚未履行的，撤销合同，责令重新开展采购活动；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（四）采购合同已经履行，给他人造成损失的，相关当事人可依法提起诉讼,由责任人承担赔偿责任。</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第三十六条  </w:t>
      </w:r>
      <w:r>
        <w:rPr>
          <w:rFonts w:hint="eastAsia" w:ascii="仿宋_GB2312" w:hAnsi="宋体" w:eastAsia="仿宋_GB2312" w:cs="Calibri"/>
          <w:color w:val="333333"/>
          <w:szCs w:val="28"/>
        </w:rPr>
        <w:t>投诉人对采购过程或者采购结果提起的 投诉事项，纪委办公室经查证属实的，应当认定投诉事项成立。经认定成立的投诉事项不影响采购结果的，继续开展采购活动；影响或者可能影响采购结果的，纪委办公室按照下列情况处理：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（一）未确定中标或者成交供应商的，责令重新开展采购活动；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（四）采购合同已经履行，给他人造成损失的，相关当事人可依法提起诉讼,由责任人承担赔偿责任。投诉人对废标行为提起的投诉事项成立的，纪委办公室应当认定废标行为无效。</w:t>
      </w:r>
    </w:p>
    <w:p>
      <w:pPr>
        <w:pStyle w:val="11"/>
        <w:spacing w:after="0"/>
        <w:ind w:right="260"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第三十七条  </w:t>
      </w:r>
      <w:r>
        <w:rPr>
          <w:rFonts w:hint="eastAsia" w:ascii="仿宋_GB2312" w:hAnsi="宋体" w:eastAsia="仿宋_GB2312" w:cs="Calibri"/>
          <w:color w:val="333333"/>
          <w:szCs w:val="28"/>
        </w:rPr>
        <w:t>纪委办公室作出处理决定，应当制作投诉处理决定书，并加盖公章。投诉处理决定书应当包括下列内容：</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（一）投诉人和被投诉人的姓名或者单位名称、通讯地址等；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（二）处理决定查明的事实和相关依据，具体处理决定和法律依据；</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（三）告知相关当事人向上级主管部门投诉或提起民事诉讼的权利；</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（四）作出处理决定的日期。</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第三十八条  </w:t>
      </w:r>
      <w:r>
        <w:rPr>
          <w:rFonts w:hint="eastAsia" w:ascii="仿宋_GB2312" w:hAnsi="宋体" w:eastAsia="仿宋_GB2312" w:cs="Calibri"/>
          <w:color w:val="333333"/>
          <w:szCs w:val="28"/>
        </w:rPr>
        <w:t>纪委办公室应当将投诉处理决定书送达投诉人和与投诉事项有关的当事人，并及时将投诉处理结果在校园网公告。</w:t>
      </w:r>
    </w:p>
    <w:p>
      <w:pPr>
        <w:pStyle w:val="11"/>
        <w:tabs>
          <w:tab w:val="left" w:pos="2680"/>
        </w:tabs>
        <w:spacing w:after="0"/>
        <w:ind w:firstLine="562" w:firstLineChars="20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第三十九条  </w:t>
      </w:r>
      <w:r>
        <w:rPr>
          <w:rFonts w:hint="eastAsia" w:ascii="仿宋_GB2312" w:hAnsi="宋体" w:eastAsia="仿宋_GB2312" w:cs="Calibri"/>
          <w:color w:val="333333"/>
          <w:szCs w:val="28"/>
        </w:rPr>
        <w:t>纪委办公室应当完善投诉处理档案管理。</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第六章  法律责任</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第四十条  </w:t>
      </w:r>
      <w:r>
        <w:rPr>
          <w:rFonts w:hint="eastAsia" w:ascii="仿宋_GB2312" w:hAnsi="宋体" w:eastAsia="仿宋_GB2312" w:cs="Calibri"/>
          <w:color w:val="333333"/>
          <w:szCs w:val="28"/>
        </w:rPr>
        <w:t>国资处、项目部门、采购代理机构有下列情形之一的，由纪委办公室责令限期改正；情节严重的，给予警告，对直接负责的主管人员和其他直接责任人员依法依规追究相应责任：</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（一）拒收质疑供应商在质疑期内发出的质疑函；</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（二）对质疑不予答复或者答复与事实明显不符，并不能作出合理说明；</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（三）拒绝配合纪委办公室处理投诉事宜。</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第四十一条</w:t>
      </w:r>
      <w:r>
        <w:tab/>
      </w:r>
      <w:r>
        <w:rPr>
          <w:rFonts w:hint="eastAsia"/>
        </w:rPr>
        <w:t xml:space="preserve">  </w:t>
      </w:r>
      <w:r>
        <w:rPr>
          <w:rFonts w:hint="eastAsia" w:ascii="仿宋_GB2312" w:hAnsi="宋体" w:eastAsia="仿宋_GB2312" w:cs="Calibri"/>
          <w:color w:val="333333"/>
          <w:szCs w:val="28"/>
        </w:rPr>
        <w:t>投诉人在学校采购活动中 12 个月内三次以上投诉查无实据的，列入不良行为记录名单。</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投诉人有下列行为之一的，属于虚假、恶意投诉，由国资处、项目单位、纪委办公室列入不良行为记录名单，禁止 其 1 至 3 年内参加学校采购活动：</w:t>
      </w:r>
    </w:p>
    <w:p>
      <w:pPr>
        <w:jc w:val="left"/>
        <w:rPr>
          <w:rFonts w:ascii="仿宋_GB2312" w:hAnsi="宋体" w:eastAsia="仿宋_GB2312" w:cs="Calibri"/>
          <w:color w:val="333333"/>
          <w:szCs w:val="28"/>
        </w:rPr>
      </w:pPr>
      <w:r>
        <w:rPr>
          <w:rFonts w:hint="eastAsia" w:ascii="仿宋_GB2312" w:hAnsi="宋体" w:eastAsia="仿宋_GB2312" w:cs="Calibri"/>
          <w:color w:val="333333"/>
          <w:szCs w:val="28"/>
        </w:rPr>
        <w:t>（一）捏造事实;</w:t>
      </w:r>
    </w:p>
    <w:p>
      <w:pPr>
        <w:jc w:val="left"/>
        <w:rPr>
          <w:rFonts w:ascii="仿宋_GB2312" w:hAnsi="宋体" w:eastAsia="仿宋_GB2312" w:cs="Calibri"/>
          <w:color w:val="333333"/>
          <w:szCs w:val="28"/>
        </w:rPr>
      </w:pPr>
      <w:r>
        <w:rPr>
          <w:rFonts w:hint="eastAsia" w:ascii="仿宋_GB2312" w:hAnsi="宋体" w:eastAsia="仿宋_GB2312" w:cs="Calibri"/>
          <w:color w:val="333333"/>
          <w:szCs w:val="28"/>
        </w:rPr>
        <w:t>（二）提供虚假材料;</w:t>
      </w:r>
    </w:p>
    <w:p>
      <w:pPr>
        <w:jc w:val="left"/>
        <w:rPr>
          <w:rFonts w:ascii="仿宋_GB2312" w:hAnsi="宋体" w:eastAsia="仿宋_GB2312" w:cs="Calibri"/>
          <w:color w:val="333333"/>
          <w:szCs w:val="28"/>
        </w:rPr>
      </w:pPr>
      <w:r>
        <w:rPr>
          <w:rFonts w:hint="eastAsia" w:ascii="仿宋_GB2312" w:hAnsi="宋体" w:eastAsia="仿宋_GB2312" w:cs="Calibri"/>
          <w:color w:val="333333"/>
          <w:szCs w:val="28"/>
        </w:rPr>
        <w:t>（三）以非法手段取得证明材料。证据来源的合法性存在明显疑问，投诉人无法证明其取得方式合法的，视为以非法手段取得证明材料。</w:t>
      </w:r>
    </w:p>
    <w:p>
      <w:pPr>
        <w:pStyle w:val="11"/>
        <w:tabs>
          <w:tab w:val="left" w:pos="1919"/>
        </w:tabs>
        <w:spacing w:after="0"/>
        <w:ind w:right="122"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第四十二条  </w:t>
      </w:r>
      <w:r>
        <w:rPr>
          <w:rFonts w:hint="eastAsia" w:ascii="仿宋_GB2312" w:hAnsi="宋体" w:eastAsia="仿宋_GB2312" w:cs="Calibri"/>
          <w:color w:val="333333"/>
          <w:szCs w:val="28"/>
        </w:rPr>
        <w:t xml:space="preserve">国资处、项目单位在处理质疑过程中，发现采购当事人有违法违规行为的，应在规定的权限范围内及时给予处理；无权处理的，应移交有关部门依法依规处理。 </w:t>
      </w:r>
    </w:p>
    <w:p>
      <w:pPr>
        <w:pStyle w:val="11"/>
        <w:tabs>
          <w:tab w:val="left" w:pos="1919"/>
        </w:tabs>
        <w:spacing w:after="0"/>
        <w:ind w:right="122"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第四十三条  </w:t>
      </w:r>
      <w:r>
        <w:rPr>
          <w:rFonts w:hint="eastAsia" w:ascii="仿宋_GB2312" w:hAnsi="宋体" w:eastAsia="仿宋_GB2312" w:cs="Calibri"/>
          <w:color w:val="333333"/>
          <w:szCs w:val="28"/>
        </w:rPr>
        <w:t>国资处、项目单位和纪委办公室的工作人员在处理质疑、投诉过程中违反本办法规定及存在滥用职 权、玩忽职守、徇私舞弊等行为的，学校将依法依规追究其相应责任。</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第七章  附则</w:t>
      </w:r>
    </w:p>
    <w:p>
      <w:pPr>
        <w:pStyle w:val="11"/>
        <w:tabs>
          <w:tab w:val="left" w:pos="2680"/>
        </w:tabs>
        <w:spacing w:after="0"/>
        <w:ind w:right="122" w:firstLine="64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第四十四条  </w:t>
      </w:r>
      <w:r>
        <w:rPr>
          <w:rFonts w:hint="eastAsia" w:ascii="仿宋_GB2312" w:hAnsi="宋体" w:eastAsia="仿宋_GB2312" w:cs="Calibri"/>
          <w:color w:val="333333"/>
          <w:szCs w:val="28"/>
        </w:rPr>
        <w:t>质疑函和投诉书应当使用中文。质疑和投诉文本采用我校制定的范本。</w:t>
      </w:r>
    </w:p>
    <w:p>
      <w:pPr>
        <w:pStyle w:val="11"/>
        <w:tabs>
          <w:tab w:val="left" w:pos="2680"/>
        </w:tabs>
        <w:spacing w:after="0"/>
        <w:ind w:right="122" w:firstLine="64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第四十五条  </w:t>
      </w:r>
      <w:r>
        <w:rPr>
          <w:rFonts w:hint="eastAsia" w:ascii="仿宋_GB2312" w:hAnsi="宋体" w:eastAsia="仿宋_GB2312" w:cs="Calibri"/>
          <w:color w:val="333333"/>
          <w:szCs w:val="28"/>
        </w:rPr>
        <w:t xml:space="preserve">本办法由学校国有资产管理处负责解释。 </w:t>
      </w:r>
    </w:p>
    <w:p>
      <w:pPr>
        <w:pStyle w:val="11"/>
        <w:tabs>
          <w:tab w:val="left" w:pos="2680"/>
        </w:tabs>
        <w:spacing w:after="0"/>
        <w:ind w:right="122" w:firstLine="640"/>
        <w:jc w:val="left"/>
        <w:rPr>
          <w:rFonts w:ascii="仿宋_GB2312" w:hAnsi="宋体" w:eastAsia="仿宋_GB2312" w:cs="Calibri"/>
          <w:color w:val="333333"/>
          <w:szCs w:val="28"/>
        </w:rPr>
        <w:sectPr>
          <w:pgSz w:w="11906" w:h="16840"/>
          <w:pgMar w:top="1500" w:right="1680" w:bottom="1260" w:left="1680" w:header="0" w:footer="1080" w:gutter="0"/>
          <w:cols w:space="720" w:num="1"/>
        </w:sectPr>
      </w:pPr>
      <w:r>
        <w:rPr>
          <w:rFonts w:hint="eastAsia" w:ascii="仿宋_GB2312" w:hAnsi="宋体" w:eastAsia="仿宋_GB2312" w:cs="宋体"/>
          <w:b/>
          <w:bCs/>
          <w:color w:val="333333"/>
          <w:szCs w:val="28"/>
        </w:rPr>
        <w:t xml:space="preserve">第四十六条  </w:t>
      </w:r>
      <w:r>
        <w:rPr>
          <w:rFonts w:hint="eastAsia" w:ascii="仿宋_GB2312" w:hAnsi="宋体" w:eastAsia="仿宋_GB2312" w:cs="Calibri"/>
          <w:color w:val="333333"/>
          <w:szCs w:val="28"/>
        </w:rPr>
        <w:t>本办法自发布之日起施行，《皖南医学院采购质疑与投诉办法（试行）》（校政〔2018〕69 号）同时废止。</w:t>
      </w:r>
    </w:p>
    <w:p>
      <w:pPr>
        <w:rPr>
          <w:rFonts w:ascii="仿宋_GB2312" w:hAnsi="宋体" w:eastAsia="仿宋_GB2312"/>
          <w:b/>
          <w:szCs w:val="28"/>
        </w:rPr>
      </w:pPr>
      <w:r>
        <w:rPr>
          <w:rFonts w:hint="eastAsia" w:ascii="仿宋_GB2312" w:hAnsi="宋体" w:eastAsia="仿宋_GB2312"/>
          <w:b/>
          <w:szCs w:val="28"/>
        </w:rPr>
        <w:t>附件5：</w:t>
      </w:r>
    </w:p>
    <w:p>
      <w:pPr>
        <w:jc w:val="center"/>
        <w:rPr>
          <w:rFonts w:ascii="仿宋_GB2312" w:hAnsi="仿宋" w:eastAsia="仿宋_GB2312" w:cs="仿宋"/>
          <w:b/>
          <w:bCs/>
          <w:szCs w:val="28"/>
        </w:rPr>
      </w:pPr>
      <w:r>
        <w:rPr>
          <w:rFonts w:hint="eastAsia" w:ascii="仿宋_GB2312" w:hAnsi="仿宋" w:eastAsia="仿宋_GB2312" w:cs="仿宋"/>
          <w:b/>
          <w:bCs/>
          <w:szCs w:val="28"/>
        </w:rPr>
        <w:t>质疑函范本</w:t>
      </w:r>
    </w:p>
    <w:p>
      <w:pPr>
        <w:adjustRightInd w:val="0"/>
        <w:snapToGrid w:val="0"/>
        <w:spacing w:before="312" w:beforeLines="100" w:line="240" w:lineRule="atLeast"/>
        <w:rPr>
          <w:rFonts w:ascii="仿宋_GB2312" w:hAnsi="黑体" w:eastAsia="仿宋_GB2312" w:cs="仿宋"/>
          <w:bCs/>
          <w:szCs w:val="28"/>
        </w:rPr>
      </w:pPr>
      <w:r>
        <w:rPr>
          <w:rFonts w:hint="eastAsia" w:ascii="仿宋_GB2312" w:hAnsi="黑体" w:eastAsia="仿宋_GB2312" w:cs="仿宋"/>
          <w:bCs/>
          <w:szCs w:val="28"/>
        </w:rPr>
        <w:t>一、质疑供应商基本信息</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质疑供应商：</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地址：</w:t>
      </w:r>
      <w:r>
        <w:rPr>
          <w:rFonts w:hint="eastAsia" w:ascii="仿宋_GB2312" w:hAnsi="仿宋" w:eastAsia="仿宋_GB2312" w:cs="仿宋"/>
          <w:szCs w:val="28"/>
          <w:u w:val="dotted"/>
        </w:rPr>
        <w:t xml:space="preserve">                          </w:t>
      </w:r>
      <w:r>
        <w:rPr>
          <w:rFonts w:hint="eastAsia" w:ascii="仿宋_GB2312" w:hAnsi="仿宋" w:eastAsia="仿宋_GB2312" w:cs="仿宋"/>
          <w:szCs w:val="28"/>
        </w:rPr>
        <w:t>邮编：</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联系人：</w:t>
      </w:r>
      <w:r>
        <w:rPr>
          <w:rFonts w:hint="eastAsia" w:ascii="仿宋_GB2312" w:hAnsi="仿宋" w:eastAsia="仿宋_GB2312" w:cs="仿宋"/>
          <w:szCs w:val="28"/>
          <w:u w:val="dotted"/>
        </w:rPr>
        <w:t xml:space="preserve">                      </w:t>
      </w:r>
      <w:r>
        <w:rPr>
          <w:rFonts w:hint="eastAsia" w:ascii="仿宋_GB2312" w:hAnsi="仿宋" w:eastAsia="仿宋_GB2312" w:cs="仿宋"/>
          <w:szCs w:val="28"/>
        </w:rPr>
        <w:t>联系电话：</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授权代表：</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联系电话：</w:t>
      </w:r>
      <w:r>
        <w:rPr>
          <w:rFonts w:hint="eastAsia" w:ascii="仿宋_GB2312" w:hAnsi="仿宋" w:eastAsia="仿宋_GB2312" w:cs="仿宋"/>
          <w:szCs w:val="28"/>
          <w:u w:val="dotted"/>
        </w:rPr>
        <w:t xml:space="preserve">                                           </w:t>
      </w:r>
      <w:r>
        <w:rPr>
          <w:rFonts w:hint="eastAsia" w:ascii="仿宋_GB2312" w:hAnsi="仿宋" w:eastAsia="仿宋_GB2312" w:cs="仿宋"/>
          <w:szCs w:val="28"/>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 xml:space="preserve">地址： </w:t>
      </w:r>
      <w:r>
        <w:rPr>
          <w:rFonts w:hint="eastAsia" w:ascii="仿宋_GB2312" w:hAnsi="仿宋" w:eastAsia="仿宋_GB2312" w:cs="仿宋"/>
          <w:szCs w:val="28"/>
          <w:u w:val="dotted"/>
        </w:rPr>
        <w:t xml:space="preserve">                        </w:t>
      </w:r>
      <w:r>
        <w:rPr>
          <w:rFonts w:hint="eastAsia" w:ascii="仿宋_GB2312" w:hAnsi="仿宋" w:eastAsia="仿宋_GB2312" w:cs="仿宋"/>
          <w:szCs w:val="28"/>
        </w:rPr>
        <w:t>邮编：</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黑体" w:eastAsia="仿宋_GB2312" w:cs="仿宋"/>
          <w:bCs/>
          <w:szCs w:val="28"/>
        </w:rPr>
      </w:pPr>
      <w:r>
        <w:rPr>
          <w:rFonts w:hint="eastAsia" w:ascii="仿宋_GB2312" w:hAnsi="黑体" w:eastAsia="仿宋_GB2312" w:cs="仿宋"/>
          <w:bCs/>
          <w:szCs w:val="28"/>
        </w:rPr>
        <w:t>二、质疑项目基本情况</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质疑项目的名称：</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质疑项目的编号：</w:t>
      </w:r>
      <w:r>
        <w:rPr>
          <w:rFonts w:hint="eastAsia" w:ascii="仿宋_GB2312" w:hAnsi="仿宋" w:eastAsia="仿宋_GB2312" w:cs="仿宋"/>
          <w:szCs w:val="28"/>
          <w:u w:val="dotted"/>
        </w:rPr>
        <w:t xml:space="preserve">               </w:t>
      </w:r>
      <w:r>
        <w:rPr>
          <w:rFonts w:hint="eastAsia" w:ascii="仿宋_GB2312" w:hAnsi="仿宋" w:eastAsia="仿宋_GB2312" w:cs="仿宋"/>
          <w:szCs w:val="28"/>
        </w:rPr>
        <w:t>包号：</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采购人名称：</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采购文件获取日期：</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黑体" w:eastAsia="仿宋_GB2312" w:cs="仿宋"/>
          <w:bCs/>
          <w:szCs w:val="28"/>
        </w:rPr>
      </w:pPr>
      <w:r>
        <w:rPr>
          <w:rFonts w:hint="eastAsia" w:ascii="仿宋_GB2312" w:hAnsi="黑体" w:eastAsia="仿宋_GB2312" w:cs="仿宋"/>
          <w:bCs/>
          <w:szCs w:val="28"/>
        </w:rPr>
        <w:t>三、质疑事项具体内容</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质疑事项1：</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事实依据：</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法律依据：</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质疑事项2</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w:t>
      </w:r>
    </w:p>
    <w:p>
      <w:pPr>
        <w:adjustRightInd w:val="0"/>
        <w:snapToGrid w:val="0"/>
        <w:spacing w:line="240" w:lineRule="atLeast"/>
        <w:rPr>
          <w:rFonts w:ascii="仿宋_GB2312" w:hAnsi="黑体" w:eastAsia="仿宋_GB2312" w:cs="仿宋"/>
          <w:bCs/>
          <w:szCs w:val="28"/>
        </w:rPr>
      </w:pPr>
      <w:r>
        <w:rPr>
          <w:rFonts w:hint="eastAsia" w:ascii="仿宋_GB2312" w:hAnsi="黑体" w:eastAsia="仿宋_GB2312" w:cs="仿宋"/>
          <w:bCs/>
          <w:szCs w:val="28"/>
        </w:rPr>
        <w:t>四、与质疑事项相关的质疑请求</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请求：</w:t>
      </w:r>
      <w:r>
        <w:rPr>
          <w:rFonts w:hint="eastAsia" w:ascii="仿宋_GB2312" w:hAnsi="仿宋" w:eastAsia="仿宋_GB2312" w:cs="仿宋"/>
          <w:szCs w:val="28"/>
          <w:u w:val="dotted"/>
        </w:rPr>
        <w:t xml:space="preserve">                                               </w:t>
      </w:r>
    </w:p>
    <w:p>
      <w:pPr>
        <w:spacing w:line="240" w:lineRule="atLeast"/>
        <w:rPr>
          <w:rFonts w:ascii="仿宋_GB2312" w:eastAsia="仿宋_GB2312"/>
          <w:szCs w:val="28"/>
        </w:rPr>
      </w:pPr>
      <w:r>
        <w:rPr>
          <w:rFonts w:hint="eastAsia" w:ascii="仿宋_GB2312" w:eastAsia="仿宋_GB2312"/>
          <w:szCs w:val="28"/>
        </w:rPr>
        <w:t xml:space="preserve">签字(签章)：                   公章：                      </w:t>
      </w:r>
    </w:p>
    <w:p>
      <w:pPr>
        <w:spacing w:line="240" w:lineRule="atLeast"/>
        <w:rPr>
          <w:rFonts w:ascii="仿宋_GB2312" w:eastAsia="仿宋_GB2312"/>
          <w:szCs w:val="28"/>
        </w:rPr>
      </w:pPr>
      <w:r>
        <w:rPr>
          <w:rFonts w:hint="eastAsia" w:ascii="仿宋_GB2312" w:eastAsia="仿宋_GB2312"/>
          <w:szCs w:val="28"/>
        </w:rPr>
        <w:t xml:space="preserve">日期：    </w:t>
      </w:r>
    </w:p>
    <w:p>
      <w:pPr>
        <w:adjustRightInd w:val="0"/>
        <w:snapToGrid w:val="0"/>
        <w:spacing w:line="360" w:lineRule="auto"/>
        <w:rPr>
          <w:rFonts w:ascii="仿宋_GB2312" w:hAnsi="仿宋" w:eastAsia="仿宋_GB2312" w:cs="仿宋"/>
          <w:szCs w:val="28"/>
        </w:rPr>
      </w:pPr>
    </w:p>
    <w:p>
      <w:pPr>
        <w:adjustRightInd w:val="0"/>
        <w:snapToGrid w:val="0"/>
        <w:spacing w:line="360" w:lineRule="auto"/>
        <w:rPr>
          <w:rFonts w:ascii="仿宋_GB2312" w:hAnsi="仿宋" w:eastAsia="仿宋_GB2312" w:cs="仿宋"/>
          <w:szCs w:val="28"/>
        </w:rPr>
      </w:pPr>
    </w:p>
    <w:p>
      <w:pPr>
        <w:jc w:val="center"/>
        <w:rPr>
          <w:rFonts w:ascii="仿宋_GB2312" w:hAnsi="仿宋" w:eastAsia="仿宋_GB2312" w:cs="仿宋"/>
          <w:b/>
          <w:bCs/>
          <w:szCs w:val="28"/>
        </w:rPr>
      </w:pPr>
    </w:p>
    <w:p>
      <w:pPr>
        <w:rPr>
          <w:rFonts w:ascii="仿宋_GB2312" w:hAnsi="黑体" w:eastAsia="仿宋_GB2312"/>
          <w:b/>
          <w:szCs w:val="28"/>
        </w:rPr>
      </w:pPr>
    </w:p>
    <w:p>
      <w:pPr>
        <w:rPr>
          <w:rFonts w:ascii="仿宋_GB2312" w:hAnsi="黑体" w:eastAsia="仿宋_GB2312"/>
          <w:b/>
          <w:szCs w:val="28"/>
        </w:rPr>
      </w:pPr>
    </w:p>
    <w:p>
      <w:pPr>
        <w:rPr>
          <w:rFonts w:ascii="仿宋_GB2312" w:hAnsi="黑体" w:eastAsia="仿宋_GB2312"/>
          <w:b/>
          <w:szCs w:val="28"/>
        </w:rPr>
      </w:pPr>
      <w:r>
        <w:rPr>
          <w:rFonts w:hint="eastAsia" w:ascii="仿宋_GB2312" w:hAnsi="黑体" w:eastAsia="仿宋_GB2312"/>
          <w:b/>
          <w:szCs w:val="28"/>
        </w:rPr>
        <w:t>质疑函制作说明：</w:t>
      </w:r>
    </w:p>
    <w:p>
      <w:pPr>
        <w:widowControl/>
        <w:ind w:firstLine="560" w:firstLineChars="200"/>
        <w:jc w:val="left"/>
        <w:rPr>
          <w:rFonts w:ascii="仿宋_GB2312" w:eastAsia="仿宋_GB2312"/>
          <w:szCs w:val="28"/>
        </w:rPr>
      </w:pPr>
      <w:r>
        <w:rPr>
          <w:rFonts w:hint="eastAsia" w:ascii="仿宋_GB2312" w:eastAsia="仿宋_GB2312"/>
          <w:szCs w:val="28"/>
        </w:rPr>
        <w:t>1.供应商提出质疑时，应提交质疑函和必要的证明材料。</w:t>
      </w:r>
    </w:p>
    <w:p>
      <w:pPr>
        <w:widowControl/>
        <w:ind w:firstLine="560" w:firstLineChars="200"/>
        <w:jc w:val="left"/>
        <w:rPr>
          <w:rFonts w:ascii="仿宋_GB2312" w:eastAsia="仿宋_GB2312"/>
          <w:szCs w:val="28"/>
        </w:rPr>
      </w:pPr>
      <w:r>
        <w:rPr>
          <w:rFonts w:hint="eastAsia" w:ascii="仿宋_GB2312" w:eastAsia="仿宋_GB2312"/>
          <w:szCs w:val="28"/>
        </w:rPr>
        <w:t>2.质疑供应商若委托代理人进行质疑的，质疑函应按要求列明“授权代表”的有关内容，并在附件中提交由质疑</w:t>
      </w:r>
      <w:r>
        <w:rPr>
          <w:rFonts w:hint="eastAsia" w:ascii="仿宋_GB2312" w:hAnsi="宋体" w:eastAsia="仿宋_GB2312" w:cs="宋体"/>
          <w:kern w:val="0"/>
          <w:szCs w:val="28"/>
        </w:rPr>
        <w:t>供应商签署的授权委托书。授权委托书应载明代理人的姓名或者名称、代理事项、具体权限、期限和相关事项。</w:t>
      </w:r>
    </w:p>
    <w:p>
      <w:pPr>
        <w:widowControl/>
        <w:ind w:firstLine="560" w:firstLineChars="200"/>
        <w:jc w:val="left"/>
        <w:rPr>
          <w:rFonts w:ascii="仿宋_GB2312" w:eastAsia="仿宋_GB2312"/>
          <w:szCs w:val="28"/>
        </w:rPr>
      </w:pPr>
      <w:r>
        <w:rPr>
          <w:rFonts w:hint="eastAsia" w:ascii="仿宋_GB2312" w:eastAsia="仿宋_GB2312"/>
          <w:szCs w:val="28"/>
        </w:rPr>
        <w:t>3.质疑供应商若对项目的某一分包进行质疑，质疑函中应列明具体分包号。</w:t>
      </w:r>
    </w:p>
    <w:p>
      <w:pPr>
        <w:widowControl/>
        <w:ind w:firstLine="560" w:firstLineChars="200"/>
        <w:jc w:val="left"/>
        <w:rPr>
          <w:rFonts w:ascii="仿宋_GB2312" w:eastAsia="仿宋_GB2312"/>
          <w:szCs w:val="28"/>
        </w:rPr>
      </w:pPr>
      <w:r>
        <w:rPr>
          <w:rFonts w:hint="eastAsia" w:ascii="仿宋_GB2312" w:eastAsia="仿宋_GB2312"/>
          <w:szCs w:val="28"/>
        </w:rPr>
        <w:t>4.质疑函的质疑事项应具体、明确，并有必要的事实依据和法律依据。</w:t>
      </w:r>
    </w:p>
    <w:p>
      <w:pPr>
        <w:widowControl/>
        <w:ind w:firstLine="560" w:firstLineChars="200"/>
        <w:jc w:val="left"/>
        <w:rPr>
          <w:rFonts w:ascii="仿宋_GB2312" w:eastAsia="仿宋_GB2312"/>
          <w:szCs w:val="28"/>
        </w:rPr>
      </w:pPr>
      <w:r>
        <w:rPr>
          <w:rFonts w:hint="eastAsia" w:ascii="仿宋_GB2312" w:eastAsia="仿宋_GB2312"/>
          <w:szCs w:val="28"/>
        </w:rPr>
        <w:t>5.质疑函的质疑请求应与质疑事项相关。</w:t>
      </w:r>
    </w:p>
    <w:p>
      <w:pPr>
        <w:widowControl/>
        <w:ind w:firstLine="560" w:firstLineChars="200"/>
        <w:jc w:val="left"/>
        <w:rPr>
          <w:rFonts w:ascii="仿宋_GB2312" w:eastAsia="仿宋_GB2312"/>
          <w:szCs w:val="28"/>
        </w:rPr>
      </w:pPr>
      <w:r>
        <w:rPr>
          <w:rFonts w:hint="eastAsia" w:ascii="仿宋_GB2312" w:eastAsia="仿宋_GB2312"/>
          <w:szCs w:val="28"/>
        </w:rPr>
        <w:t>6.质疑供应商为自然人的，质疑函应由本人签字；质疑供应商为法人或者其他组织的，质疑函应由法定代表人、主要负责人，或者其授权代表签字或者盖章，并加盖公章。</w:t>
      </w:r>
    </w:p>
    <w:p>
      <w:pPr>
        <w:rPr>
          <w:rFonts w:ascii="仿宋_GB2312" w:eastAsia="仿宋_GB2312"/>
          <w:szCs w:val="28"/>
        </w:rPr>
      </w:pPr>
    </w:p>
    <w:p>
      <w:pPr>
        <w:rPr>
          <w:rFonts w:ascii="仿宋_GB2312" w:eastAsia="仿宋_GB2312"/>
          <w:szCs w:val="28"/>
        </w:rPr>
      </w:pPr>
      <w:r>
        <w:rPr>
          <w:rFonts w:hint="eastAsia" w:ascii="仿宋_GB2312" w:eastAsia="仿宋_GB2312"/>
          <w:szCs w:val="28"/>
        </w:rPr>
        <w:t xml:space="preserve"> </w:t>
      </w:r>
    </w:p>
    <w:p>
      <w:pPr>
        <w:rPr>
          <w:rFonts w:ascii="仿宋_GB2312" w:eastAsia="仿宋_GB2312"/>
          <w:szCs w:val="28"/>
        </w:rPr>
      </w:pPr>
    </w:p>
    <w:p>
      <w:pPr>
        <w:rPr>
          <w:rFonts w:ascii="仿宋_GB2312" w:eastAsia="仿宋_GB2312"/>
          <w:szCs w:val="28"/>
        </w:rPr>
      </w:pPr>
    </w:p>
    <w:p>
      <w:pPr>
        <w:rPr>
          <w:rFonts w:ascii="仿宋_GB2312" w:eastAsia="仿宋_GB2312"/>
          <w:szCs w:val="28"/>
        </w:rPr>
      </w:pPr>
    </w:p>
    <w:p>
      <w:pPr>
        <w:rPr>
          <w:rFonts w:ascii="仿宋_GB2312" w:hAnsi="宋体" w:eastAsia="仿宋_GB2312"/>
          <w:b/>
          <w:szCs w:val="28"/>
        </w:rPr>
      </w:pPr>
    </w:p>
    <w:p>
      <w:pPr>
        <w:rPr>
          <w:rFonts w:ascii="仿宋_GB2312" w:hAnsi="宋体" w:eastAsia="仿宋_GB2312"/>
          <w:b/>
          <w:szCs w:val="28"/>
        </w:rPr>
      </w:pPr>
    </w:p>
    <w:p>
      <w:pPr>
        <w:rPr>
          <w:rFonts w:ascii="仿宋_GB2312" w:hAnsi="宋体" w:eastAsia="仿宋_GB2312"/>
          <w:b/>
          <w:szCs w:val="28"/>
        </w:rPr>
      </w:pPr>
    </w:p>
    <w:p>
      <w:pPr>
        <w:rPr>
          <w:rFonts w:ascii="仿宋_GB2312" w:hAnsi="宋体" w:eastAsia="仿宋_GB2312"/>
          <w:b/>
          <w:szCs w:val="28"/>
        </w:rPr>
      </w:pPr>
      <w:r>
        <w:rPr>
          <w:rFonts w:hint="eastAsia" w:ascii="仿宋_GB2312" w:hAnsi="宋体" w:eastAsia="仿宋_GB2312"/>
          <w:b/>
          <w:szCs w:val="28"/>
        </w:rPr>
        <w:t>附件6：</w:t>
      </w:r>
    </w:p>
    <w:p>
      <w:pPr>
        <w:jc w:val="center"/>
        <w:rPr>
          <w:rFonts w:ascii="仿宋_GB2312" w:hAnsi="宋体" w:eastAsia="仿宋_GB2312"/>
          <w:b/>
          <w:szCs w:val="28"/>
        </w:rPr>
      </w:pPr>
      <w:r>
        <w:rPr>
          <w:rFonts w:hint="eastAsia" w:ascii="仿宋_GB2312" w:hAnsi="宋体" w:eastAsia="仿宋_GB2312"/>
          <w:b/>
          <w:szCs w:val="28"/>
        </w:rPr>
        <w:t>投诉书范本</w:t>
      </w:r>
    </w:p>
    <w:p>
      <w:pPr>
        <w:rPr>
          <w:rFonts w:ascii="仿宋_GB2312" w:hAnsi="黑体" w:eastAsia="仿宋_GB2312"/>
          <w:szCs w:val="28"/>
        </w:rPr>
      </w:pPr>
      <w:r>
        <w:rPr>
          <w:rFonts w:hint="eastAsia" w:ascii="仿宋_GB2312" w:hAnsi="黑体" w:eastAsia="仿宋_GB2312"/>
          <w:szCs w:val="28"/>
        </w:rPr>
        <w:t>一、投诉相关主体基本情况</w:t>
      </w:r>
    </w:p>
    <w:p>
      <w:pPr>
        <w:rPr>
          <w:rFonts w:ascii="仿宋_GB2312" w:eastAsia="仿宋_GB2312"/>
          <w:szCs w:val="28"/>
          <w:u w:val="dotted"/>
        </w:rPr>
      </w:pPr>
      <w:r>
        <w:rPr>
          <w:rFonts w:hint="eastAsia" w:ascii="仿宋_GB2312" w:eastAsia="仿宋_GB2312"/>
          <w:szCs w:val="28"/>
        </w:rPr>
        <w:t>投诉人：</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tabs>
          <w:tab w:val="left" w:pos="6510"/>
        </w:tabs>
        <w:jc w:val="left"/>
        <w:rPr>
          <w:rFonts w:ascii="仿宋_GB2312" w:eastAsia="仿宋_GB2312"/>
          <w:szCs w:val="28"/>
        </w:rPr>
      </w:pPr>
      <w:r>
        <w:rPr>
          <w:rFonts w:hint="eastAsia" w:ascii="仿宋_GB2312" w:eastAsia="仿宋_GB2312"/>
          <w:szCs w:val="28"/>
        </w:rPr>
        <w:t>法定代表人/主要负责人：</w:t>
      </w:r>
      <w:r>
        <w:rPr>
          <w:rFonts w:hint="eastAsia" w:ascii="仿宋_GB2312" w:eastAsia="仿宋_GB2312"/>
          <w:szCs w:val="28"/>
          <w:u w:val="dotted"/>
        </w:rPr>
        <w:t xml:space="preserve">                                   </w:t>
      </w:r>
      <w:r>
        <w:rPr>
          <w:rFonts w:hint="eastAsia" w:ascii="仿宋_GB2312" w:eastAsia="仿宋_GB2312"/>
          <w:szCs w:val="28"/>
        </w:rPr>
        <w:t xml:space="preserve">  </w:t>
      </w:r>
    </w:p>
    <w:p>
      <w:pPr>
        <w:tabs>
          <w:tab w:val="left" w:pos="6510"/>
        </w:tabs>
        <w:rPr>
          <w:rFonts w:ascii="仿宋_GB2312" w:eastAsia="仿宋_GB2312"/>
          <w:szCs w:val="28"/>
          <w:u w:val="dotted"/>
        </w:rPr>
      </w:pPr>
      <w:r>
        <w:rPr>
          <w:rFonts w:hint="eastAsia" w:ascii="仿宋_GB2312" w:eastAsia="仿宋_GB2312"/>
          <w:szCs w:val="28"/>
        </w:rPr>
        <w:t>联系电话：</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rPr>
        <w:t>授权代表：</w:t>
      </w:r>
      <w:r>
        <w:rPr>
          <w:rFonts w:hint="eastAsia" w:ascii="仿宋_GB2312" w:eastAsia="仿宋_GB2312"/>
          <w:szCs w:val="28"/>
          <w:u w:val="dotted"/>
        </w:rPr>
        <w:t xml:space="preserve">             </w:t>
      </w:r>
      <w:r>
        <w:rPr>
          <w:rFonts w:hint="eastAsia" w:ascii="仿宋_GB2312" w:eastAsia="仿宋_GB2312"/>
          <w:szCs w:val="28"/>
        </w:rPr>
        <w:t>联系电话</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被投诉人1：</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联系人：</w:t>
      </w:r>
      <w:r>
        <w:rPr>
          <w:rFonts w:hint="eastAsia" w:ascii="仿宋_GB2312" w:eastAsia="仿宋_GB2312"/>
          <w:szCs w:val="28"/>
          <w:u w:val="dotted"/>
        </w:rPr>
        <w:t xml:space="preserve">               </w:t>
      </w:r>
      <w:r>
        <w:rPr>
          <w:rFonts w:hint="eastAsia" w:ascii="仿宋_GB2312" w:eastAsia="仿宋_GB2312"/>
          <w:szCs w:val="28"/>
        </w:rPr>
        <w:t>联系电话：</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rPr>
      </w:pPr>
      <w:r>
        <w:rPr>
          <w:rFonts w:hint="eastAsia" w:ascii="仿宋_GB2312" w:eastAsia="仿宋_GB2312"/>
          <w:szCs w:val="28"/>
        </w:rPr>
        <w:t>被投诉人2</w:t>
      </w:r>
    </w:p>
    <w:p>
      <w:pPr>
        <w:rPr>
          <w:rFonts w:ascii="仿宋_GB2312" w:eastAsia="仿宋_GB2312"/>
          <w:szCs w:val="28"/>
          <w:u w:val="dotted"/>
        </w:rPr>
      </w:pPr>
      <w:r>
        <w:rPr>
          <w:rFonts w:hint="eastAsia" w:ascii="仿宋_GB2312" w:eastAsia="仿宋_GB2312"/>
          <w:szCs w:val="28"/>
        </w:rPr>
        <w:t>……</w:t>
      </w:r>
    </w:p>
    <w:p>
      <w:pPr>
        <w:rPr>
          <w:rFonts w:ascii="仿宋_GB2312" w:eastAsia="仿宋_GB2312"/>
          <w:szCs w:val="28"/>
          <w:u w:val="single"/>
        </w:rPr>
      </w:pPr>
      <w:r>
        <w:rPr>
          <w:rFonts w:hint="eastAsia" w:ascii="仿宋_GB2312" w:eastAsia="仿宋_GB2312"/>
          <w:szCs w:val="28"/>
        </w:rPr>
        <w:t>相关供应商：</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联系人：</w:t>
      </w:r>
      <w:r>
        <w:rPr>
          <w:rFonts w:hint="eastAsia" w:ascii="仿宋_GB2312" w:eastAsia="仿宋_GB2312"/>
          <w:szCs w:val="28"/>
          <w:u w:val="dotted"/>
        </w:rPr>
        <w:t xml:space="preserve">               </w:t>
      </w:r>
      <w:r>
        <w:rPr>
          <w:rFonts w:hint="eastAsia" w:ascii="仿宋_GB2312" w:eastAsia="仿宋_GB2312"/>
          <w:szCs w:val="28"/>
        </w:rPr>
        <w:t>联系电话：</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hAnsi="黑体" w:eastAsia="仿宋_GB2312"/>
          <w:szCs w:val="28"/>
        </w:rPr>
      </w:pPr>
      <w:r>
        <w:rPr>
          <w:rFonts w:hint="eastAsia" w:ascii="仿宋_GB2312" w:hAnsi="黑体" w:eastAsia="仿宋_GB2312"/>
          <w:szCs w:val="28"/>
        </w:rPr>
        <w:t>二、投诉项目基本情况</w:t>
      </w:r>
    </w:p>
    <w:p>
      <w:pPr>
        <w:rPr>
          <w:rFonts w:ascii="仿宋_GB2312" w:eastAsia="仿宋_GB2312"/>
          <w:szCs w:val="28"/>
          <w:u w:val="dotted"/>
        </w:rPr>
      </w:pPr>
      <w:r>
        <w:rPr>
          <w:rFonts w:hint="eastAsia" w:ascii="仿宋_GB2312" w:eastAsia="仿宋_GB2312"/>
          <w:szCs w:val="28"/>
        </w:rPr>
        <w:t>采购项目名称：</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采购项目编号：</w:t>
      </w:r>
      <w:r>
        <w:rPr>
          <w:rFonts w:hint="eastAsia" w:ascii="仿宋_GB2312" w:eastAsia="仿宋_GB2312"/>
          <w:szCs w:val="28"/>
          <w:u w:val="dotted"/>
        </w:rPr>
        <w:t xml:space="preserve">                 </w:t>
      </w:r>
      <w:r>
        <w:rPr>
          <w:rFonts w:hint="eastAsia" w:ascii="仿宋_GB2312" w:eastAsia="仿宋_GB2312"/>
          <w:szCs w:val="28"/>
        </w:rPr>
        <w:t>包号：</w:t>
      </w:r>
      <w:r>
        <w:rPr>
          <w:rFonts w:hint="eastAsia" w:ascii="仿宋_GB2312" w:eastAsia="仿宋_GB2312"/>
          <w:szCs w:val="28"/>
          <w:u w:val="dotted"/>
        </w:rPr>
        <w:t xml:space="preserve">              </w:t>
      </w:r>
    </w:p>
    <w:p>
      <w:pPr>
        <w:rPr>
          <w:rFonts w:ascii="仿宋_GB2312" w:eastAsia="仿宋_GB2312"/>
          <w:szCs w:val="28"/>
        </w:rPr>
      </w:pPr>
      <w:r>
        <w:rPr>
          <w:rFonts w:hint="eastAsia" w:ascii="仿宋_GB2312" w:eastAsia="仿宋_GB2312"/>
          <w:szCs w:val="28"/>
        </w:rPr>
        <w:t>采购人名称：</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代理机构名称：</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rPr>
        <w:t>采购文件公告:</w:t>
      </w:r>
      <w:r>
        <w:rPr>
          <w:rFonts w:hint="eastAsia" w:ascii="仿宋_GB2312" w:eastAsia="仿宋_GB2312"/>
          <w:szCs w:val="28"/>
          <w:u w:val="dotted"/>
        </w:rPr>
        <w:t xml:space="preserve">是/否 </w:t>
      </w:r>
      <w:r>
        <w:rPr>
          <w:rFonts w:hint="eastAsia" w:ascii="仿宋_GB2312" w:eastAsia="仿宋_GB2312"/>
          <w:szCs w:val="28"/>
        </w:rPr>
        <w:t>公告期限：</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采购结果公告:</w:t>
      </w:r>
      <w:r>
        <w:rPr>
          <w:rFonts w:hint="eastAsia" w:ascii="仿宋_GB2312" w:eastAsia="仿宋_GB2312"/>
          <w:szCs w:val="28"/>
          <w:u w:val="dotted"/>
        </w:rPr>
        <w:t xml:space="preserve">是/否 </w:t>
      </w:r>
      <w:r>
        <w:rPr>
          <w:rFonts w:hint="eastAsia" w:ascii="仿宋_GB2312" w:eastAsia="仿宋_GB2312"/>
          <w:szCs w:val="28"/>
        </w:rPr>
        <w:t>公告期限：</w:t>
      </w:r>
      <w:r>
        <w:rPr>
          <w:rFonts w:hint="eastAsia" w:ascii="仿宋_GB2312" w:eastAsia="仿宋_GB2312"/>
          <w:szCs w:val="28"/>
          <w:u w:val="dotted"/>
        </w:rPr>
        <w:t xml:space="preserve">                        </w:t>
      </w:r>
    </w:p>
    <w:p>
      <w:pPr>
        <w:rPr>
          <w:rFonts w:ascii="仿宋_GB2312" w:hAnsi="黑体" w:eastAsia="仿宋_GB2312"/>
          <w:szCs w:val="28"/>
        </w:rPr>
      </w:pPr>
      <w:r>
        <w:rPr>
          <w:rFonts w:hint="eastAsia" w:ascii="仿宋_GB2312" w:hAnsi="黑体" w:eastAsia="仿宋_GB2312"/>
          <w:szCs w:val="28"/>
        </w:rPr>
        <w:t>三、质疑基本情况</w:t>
      </w:r>
    </w:p>
    <w:p>
      <w:pPr>
        <w:ind w:firstLine="560" w:firstLineChars="200"/>
        <w:rPr>
          <w:rFonts w:ascii="仿宋_GB2312" w:eastAsia="仿宋_GB2312"/>
          <w:szCs w:val="28"/>
          <w:u w:val="dotted"/>
        </w:rPr>
      </w:pPr>
      <w:r>
        <w:rPr>
          <w:rFonts w:hint="eastAsia" w:ascii="仿宋_GB2312" w:eastAsia="仿宋_GB2312"/>
          <w:szCs w:val="28"/>
        </w:rPr>
        <w:t>投诉人于</w:t>
      </w:r>
      <w:r>
        <w:rPr>
          <w:rFonts w:hint="eastAsia" w:ascii="仿宋_GB2312" w:eastAsia="仿宋_GB2312"/>
          <w:szCs w:val="28"/>
          <w:u w:val="dotted"/>
        </w:rPr>
        <w:t xml:space="preserve">   </w:t>
      </w:r>
      <w:r>
        <w:rPr>
          <w:rFonts w:hint="eastAsia" w:ascii="仿宋_GB2312" w:eastAsia="仿宋_GB2312"/>
          <w:szCs w:val="28"/>
        </w:rPr>
        <w:t>年</w:t>
      </w:r>
      <w:r>
        <w:rPr>
          <w:rFonts w:hint="eastAsia" w:ascii="仿宋_GB2312" w:eastAsia="仿宋_GB2312"/>
          <w:szCs w:val="28"/>
          <w:u w:val="dotted"/>
        </w:rPr>
        <w:t xml:space="preserve">   </w:t>
      </w:r>
      <w:r>
        <w:rPr>
          <w:rFonts w:hint="eastAsia" w:ascii="仿宋_GB2312" w:eastAsia="仿宋_GB2312"/>
          <w:szCs w:val="28"/>
        </w:rPr>
        <w:t>月</w:t>
      </w:r>
      <w:r>
        <w:rPr>
          <w:rFonts w:hint="eastAsia" w:ascii="仿宋_GB2312" w:eastAsia="仿宋_GB2312"/>
          <w:szCs w:val="28"/>
          <w:u w:val="dotted"/>
        </w:rPr>
        <w:t xml:space="preserve">  </w:t>
      </w:r>
      <w:r>
        <w:rPr>
          <w:rFonts w:hint="eastAsia" w:ascii="仿宋_GB2312" w:eastAsia="仿宋_GB2312"/>
          <w:szCs w:val="28"/>
        </w:rPr>
        <w:t>日,向</w:t>
      </w:r>
      <w:r>
        <w:rPr>
          <w:rFonts w:hint="eastAsia" w:ascii="仿宋_GB2312" w:eastAsia="仿宋_GB2312"/>
          <w:szCs w:val="28"/>
          <w:u w:val="dotted"/>
        </w:rPr>
        <w:t xml:space="preserve">                   </w:t>
      </w:r>
      <w:r>
        <w:rPr>
          <w:rFonts w:hint="eastAsia" w:ascii="仿宋_GB2312" w:eastAsia="仿宋_GB2312"/>
          <w:szCs w:val="28"/>
        </w:rPr>
        <w:t>提出质疑，质疑事项为：</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u w:val="dotted"/>
        </w:rPr>
        <w:t xml:space="preserve">                                                     </w:t>
      </w:r>
      <w:r>
        <w:rPr>
          <w:rFonts w:hint="eastAsia" w:ascii="仿宋_GB2312" w:eastAsia="仿宋_GB2312"/>
          <w:szCs w:val="28"/>
        </w:rPr>
        <w:t xml:space="preserve">  </w:t>
      </w:r>
    </w:p>
    <w:p>
      <w:pPr>
        <w:ind w:firstLine="420" w:firstLineChars="150"/>
        <w:rPr>
          <w:rFonts w:ascii="仿宋_GB2312" w:eastAsia="仿宋_GB2312"/>
          <w:szCs w:val="28"/>
        </w:rPr>
      </w:pPr>
      <w:r>
        <w:rPr>
          <w:rFonts w:hint="eastAsia" w:ascii="仿宋_GB2312" w:eastAsia="仿宋_GB2312"/>
          <w:szCs w:val="28"/>
          <w:u w:val="dotted"/>
        </w:rPr>
        <w:t>采购人/代理机构</w:t>
      </w:r>
      <w:r>
        <w:rPr>
          <w:rFonts w:hint="eastAsia" w:ascii="仿宋_GB2312" w:eastAsia="仿宋_GB2312"/>
          <w:szCs w:val="28"/>
        </w:rPr>
        <w:t>于</w:t>
      </w:r>
      <w:r>
        <w:rPr>
          <w:rFonts w:hint="eastAsia" w:ascii="仿宋_GB2312" w:eastAsia="仿宋_GB2312"/>
          <w:szCs w:val="28"/>
          <w:u w:val="dotted"/>
        </w:rPr>
        <w:t xml:space="preserve">   </w:t>
      </w:r>
      <w:r>
        <w:rPr>
          <w:rFonts w:hint="eastAsia" w:ascii="仿宋_GB2312" w:eastAsia="仿宋_GB2312"/>
          <w:szCs w:val="28"/>
        </w:rPr>
        <w:t>年</w:t>
      </w:r>
      <w:r>
        <w:rPr>
          <w:rFonts w:hint="eastAsia" w:ascii="仿宋_GB2312" w:eastAsia="仿宋_GB2312"/>
          <w:szCs w:val="28"/>
          <w:u w:val="dotted"/>
        </w:rPr>
        <w:t xml:space="preserve">   </w:t>
      </w:r>
      <w:r>
        <w:rPr>
          <w:rFonts w:hint="eastAsia" w:ascii="仿宋_GB2312" w:eastAsia="仿宋_GB2312"/>
          <w:szCs w:val="28"/>
        </w:rPr>
        <w:t>月</w:t>
      </w:r>
      <w:r>
        <w:rPr>
          <w:rFonts w:hint="eastAsia" w:ascii="仿宋_GB2312" w:eastAsia="仿宋_GB2312"/>
          <w:szCs w:val="28"/>
          <w:u w:val="dotted"/>
        </w:rPr>
        <w:t xml:space="preserve">   </w:t>
      </w:r>
      <w:r>
        <w:rPr>
          <w:rFonts w:hint="eastAsia" w:ascii="仿宋_GB2312" w:eastAsia="仿宋_GB2312"/>
          <w:szCs w:val="28"/>
        </w:rPr>
        <w:t>日,就质疑事项作出了答复/没有在法定期限内作出答复。</w:t>
      </w:r>
    </w:p>
    <w:p>
      <w:pPr>
        <w:rPr>
          <w:rFonts w:ascii="仿宋_GB2312" w:hAnsi="黑体" w:eastAsia="仿宋_GB2312"/>
          <w:szCs w:val="28"/>
        </w:rPr>
      </w:pPr>
      <w:r>
        <w:rPr>
          <w:rFonts w:hint="eastAsia" w:ascii="仿宋_GB2312" w:hAnsi="黑体" w:eastAsia="仿宋_GB2312"/>
          <w:szCs w:val="28"/>
        </w:rPr>
        <w:t>四、投诉事项具体内容</w:t>
      </w:r>
    </w:p>
    <w:p>
      <w:pPr>
        <w:rPr>
          <w:rFonts w:ascii="仿宋_GB2312" w:eastAsia="仿宋_GB2312"/>
          <w:szCs w:val="28"/>
          <w:u w:val="single"/>
        </w:rPr>
      </w:pPr>
      <w:r>
        <w:rPr>
          <w:rFonts w:hint="eastAsia" w:ascii="仿宋_GB2312" w:eastAsia="仿宋_GB2312"/>
          <w:szCs w:val="28"/>
        </w:rPr>
        <w:t>投诉事项 1：</w:t>
      </w:r>
      <w:r>
        <w:rPr>
          <w:rFonts w:hint="eastAsia" w:ascii="仿宋_GB2312" w:eastAsia="仿宋_GB2312"/>
          <w:szCs w:val="28"/>
          <w:u w:val="dotted"/>
        </w:rPr>
        <w:t xml:space="preserve">                                       </w:t>
      </w:r>
    </w:p>
    <w:p>
      <w:pPr>
        <w:rPr>
          <w:rFonts w:ascii="仿宋_GB2312" w:eastAsia="仿宋_GB2312"/>
          <w:szCs w:val="28"/>
        </w:rPr>
      </w:pPr>
      <w:r>
        <w:rPr>
          <w:rFonts w:hint="eastAsia" w:ascii="仿宋_GB2312" w:eastAsia="仿宋_GB2312"/>
          <w:szCs w:val="28"/>
        </w:rPr>
        <w:t>事实依据：</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法律依据：</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u w:val="dotted"/>
        </w:rPr>
        <w:t xml:space="preserve">                                                      </w:t>
      </w:r>
    </w:p>
    <w:p>
      <w:pPr>
        <w:rPr>
          <w:rFonts w:ascii="仿宋_GB2312" w:eastAsia="仿宋_GB2312"/>
          <w:szCs w:val="28"/>
        </w:rPr>
      </w:pPr>
      <w:r>
        <w:rPr>
          <w:rFonts w:hint="eastAsia" w:ascii="仿宋_GB2312" w:eastAsia="仿宋_GB2312"/>
          <w:szCs w:val="28"/>
        </w:rPr>
        <w:t>投诉事项2</w:t>
      </w:r>
    </w:p>
    <w:p>
      <w:pPr>
        <w:rPr>
          <w:rFonts w:ascii="仿宋_GB2312" w:eastAsia="仿宋_GB2312"/>
          <w:szCs w:val="28"/>
          <w:u w:val="dotted"/>
        </w:rPr>
      </w:pPr>
      <w:r>
        <w:rPr>
          <w:rFonts w:hint="eastAsia" w:ascii="仿宋_GB2312" w:eastAsia="仿宋_GB2312"/>
          <w:szCs w:val="28"/>
        </w:rPr>
        <w:t>……</w:t>
      </w:r>
    </w:p>
    <w:p>
      <w:pPr>
        <w:rPr>
          <w:rFonts w:ascii="仿宋_GB2312" w:hAnsi="黑体" w:eastAsia="仿宋_GB2312"/>
          <w:szCs w:val="28"/>
        </w:rPr>
      </w:pPr>
      <w:r>
        <w:rPr>
          <w:rFonts w:hint="eastAsia" w:ascii="仿宋_GB2312" w:hAnsi="黑体" w:eastAsia="仿宋_GB2312"/>
          <w:szCs w:val="28"/>
        </w:rPr>
        <w:t>五、与投诉事项相关的投诉请求</w:t>
      </w:r>
    </w:p>
    <w:p>
      <w:pPr>
        <w:rPr>
          <w:rFonts w:ascii="仿宋_GB2312" w:eastAsia="仿宋_GB2312"/>
          <w:szCs w:val="28"/>
        </w:rPr>
      </w:pPr>
      <w:r>
        <w:rPr>
          <w:rFonts w:hint="eastAsia" w:ascii="仿宋_GB2312" w:eastAsia="仿宋_GB2312"/>
          <w:szCs w:val="28"/>
        </w:rPr>
        <w:t>请求：</w:t>
      </w:r>
      <w:r>
        <w:rPr>
          <w:rFonts w:hint="eastAsia" w:ascii="仿宋_GB2312" w:eastAsia="仿宋_GB2312"/>
          <w:szCs w:val="28"/>
          <w:u w:val="dotted"/>
        </w:rPr>
        <w:t xml:space="preserve">                                              </w:t>
      </w:r>
      <w:r>
        <w:rPr>
          <w:rFonts w:hint="eastAsia" w:ascii="仿宋_GB2312" w:eastAsia="仿宋_GB2312"/>
          <w:szCs w:val="28"/>
        </w:rPr>
        <w:t xml:space="preserve"> </w:t>
      </w:r>
    </w:p>
    <w:p>
      <w:pPr>
        <w:rPr>
          <w:rFonts w:ascii="仿宋_GB2312" w:eastAsia="仿宋_GB2312"/>
          <w:szCs w:val="28"/>
          <w:u w:val="single"/>
        </w:rPr>
      </w:pPr>
      <w:r>
        <w:rPr>
          <w:rFonts w:hint="eastAsia" w:ascii="仿宋_GB2312" w:eastAsia="仿宋_GB2312"/>
          <w:szCs w:val="28"/>
        </w:rPr>
        <w:t xml:space="preserve">                                                                                                    </w:t>
      </w:r>
    </w:p>
    <w:p>
      <w:pPr>
        <w:rPr>
          <w:rFonts w:ascii="仿宋_GB2312" w:eastAsia="仿宋_GB2312"/>
          <w:szCs w:val="28"/>
        </w:rPr>
      </w:pPr>
      <w:r>
        <w:rPr>
          <w:rFonts w:hint="eastAsia" w:ascii="仿宋_GB2312" w:eastAsia="仿宋_GB2312"/>
          <w:szCs w:val="28"/>
        </w:rPr>
        <w:t xml:space="preserve">签字(签章)：                   公章：                      </w:t>
      </w:r>
    </w:p>
    <w:p>
      <w:pPr>
        <w:rPr>
          <w:rFonts w:ascii="仿宋_GB2312" w:eastAsia="仿宋_GB2312"/>
          <w:szCs w:val="28"/>
        </w:rPr>
      </w:pPr>
      <w:r>
        <w:rPr>
          <w:rFonts w:hint="eastAsia" w:ascii="仿宋_GB2312" w:eastAsia="仿宋_GB2312"/>
          <w:szCs w:val="28"/>
        </w:rPr>
        <w:t xml:space="preserve">日期：    </w:t>
      </w:r>
    </w:p>
    <w:p>
      <w:pPr>
        <w:rPr>
          <w:rFonts w:ascii="仿宋_GB2312" w:hAnsi="黑体" w:eastAsia="仿宋_GB2312"/>
          <w:b/>
          <w:szCs w:val="28"/>
        </w:rPr>
      </w:pPr>
    </w:p>
    <w:p>
      <w:pPr>
        <w:rPr>
          <w:rFonts w:ascii="仿宋_GB2312" w:hAnsi="黑体" w:eastAsia="仿宋_GB2312"/>
          <w:b/>
          <w:szCs w:val="28"/>
        </w:rPr>
      </w:pPr>
      <w:r>
        <w:rPr>
          <w:rFonts w:hint="eastAsia" w:ascii="仿宋_GB2312" w:hAnsi="黑体" w:eastAsia="仿宋_GB2312"/>
          <w:b/>
          <w:szCs w:val="28"/>
        </w:rPr>
        <w:t>投诉书制作说明：</w:t>
      </w:r>
    </w:p>
    <w:p>
      <w:pPr>
        <w:widowControl/>
        <w:ind w:firstLine="560" w:firstLineChars="200"/>
        <w:rPr>
          <w:rFonts w:ascii="仿宋_GB2312" w:hAnsi="宋体" w:eastAsia="仿宋_GB2312" w:cs="宋体"/>
          <w:kern w:val="0"/>
          <w:szCs w:val="28"/>
        </w:rPr>
      </w:pPr>
      <w:r>
        <w:rPr>
          <w:rFonts w:hint="eastAsia" w:ascii="仿宋_GB2312" w:eastAsia="仿宋_GB2312"/>
          <w:szCs w:val="28"/>
        </w:rPr>
        <w:t>1.投诉人提起投诉时，应当提交投诉书和必要的证明材料，并按照被投诉人和与投诉事项有关的供应商数量提供投诉书副本。</w:t>
      </w:r>
    </w:p>
    <w:p>
      <w:pPr>
        <w:widowControl/>
        <w:ind w:firstLine="560" w:firstLineChars="200"/>
        <w:jc w:val="left"/>
        <w:rPr>
          <w:rFonts w:ascii="仿宋_GB2312" w:hAnsi="宋体" w:eastAsia="仿宋_GB2312" w:cs="宋体"/>
          <w:kern w:val="0"/>
          <w:szCs w:val="28"/>
        </w:rPr>
      </w:pPr>
      <w:r>
        <w:rPr>
          <w:rFonts w:hint="eastAsia" w:ascii="仿宋_GB2312" w:eastAsia="仿宋_GB2312"/>
          <w:szCs w:val="28"/>
        </w:rPr>
        <w:t>2.投诉人若委托代理人进行投诉的，投诉书应按照要求列明“授权代表”的有关内容，并在附件中提交由</w:t>
      </w:r>
      <w:r>
        <w:rPr>
          <w:rFonts w:hint="eastAsia" w:ascii="仿宋_GB2312" w:hAnsi="宋体" w:eastAsia="仿宋_GB2312" w:cs="宋体"/>
          <w:kern w:val="0"/>
          <w:szCs w:val="28"/>
        </w:rPr>
        <w:t>投诉人签署的授权委托书。授权委托书应当载明代理人的姓名或者名称、代理事项、具体权限、期限和相关事项。</w:t>
      </w:r>
    </w:p>
    <w:p>
      <w:pPr>
        <w:widowControl/>
        <w:ind w:firstLine="560" w:firstLineChars="200"/>
        <w:jc w:val="left"/>
        <w:rPr>
          <w:rFonts w:ascii="仿宋_GB2312" w:eastAsia="仿宋_GB2312"/>
          <w:szCs w:val="28"/>
        </w:rPr>
      </w:pPr>
      <w:r>
        <w:rPr>
          <w:rFonts w:hint="eastAsia" w:ascii="仿宋_GB2312" w:eastAsia="仿宋_GB2312"/>
          <w:szCs w:val="28"/>
        </w:rPr>
        <w:t>3.投诉人若对项目的某一分包进行投诉，投诉书应列明具体分包号。</w:t>
      </w:r>
    </w:p>
    <w:p>
      <w:pPr>
        <w:widowControl/>
        <w:ind w:firstLine="560" w:firstLineChars="200"/>
        <w:jc w:val="left"/>
        <w:rPr>
          <w:rFonts w:ascii="仿宋_GB2312" w:eastAsia="仿宋_GB2312"/>
          <w:szCs w:val="28"/>
        </w:rPr>
      </w:pPr>
      <w:r>
        <w:rPr>
          <w:rFonts w:hint="eastAsia" w:ascii="仿宋_GB2312" w:eastAsia="仿宋_GB2312"/>
          <w:szCs w:val="28"/>
        </w:rPr>
        <w:t>4.投诉书应简要列明质疑事项，质疑函、质疑答复等作为附件材料提供。</w:t>
      </w:r>
    </w:p>
    <w:p>
      <w:pPr>
        <w:widowControl/>
        <w:ind w:firstLine="560" w:firstLineChars="200"/>
        <w:jc w:val="left"/>
        <w:rPr>
          <w:rFonts w:ascii="仿宋_GB2312" w:eastAsia="仿宋_GB2312"/>
          <w:szCs w:val="28"/>
        </w:rPr>
      </w:pPr>
      <w:r>
        <w:rPr>
          <w:rFonts w:hint="eastAsia" w:ascii="仿宋_GB2312" w:eastAsia="仿宋_GB2312"/>
          <w:szCs w:val="28"/>
        </w:rPr>
        <w:t>5.投诉书的投诉事项应具体、明确，并有必要的事实依据和法律依据。</w:t>
      </w:r>
    </w:p>
    <w:p>
      <w:pPr>
        <w:widowControl/>
        <w:ind w:firstLine="560" w:firstLineChars="200"/>
        <w:jc w:val="left"/>
        <w:rPr>
          <w:rFonts w:ascii="仿宋_GB2312" w:eastAsia="仿宋_GB2312"/>
          <w:szCs w:val="28"/>
        </w:rPr>
      </w:pPr>
      <w:r>
        <w:rPr>
          <w:rFonts w:hint="eastAsia" w:ascii="仿宋_GB2312" w:eastAsia="仿宋_GB2312"/>
          <w:szCs w:val="28"/>
        </w:rPr>
        <w:t>6.投诉书的投诉请求应与投诉事项相关。</w:t>
      </w:r>
    </w:p>
    <w:p>
      <w:pPr>
        <w:adjustRightInd w:val="0"/>
        <w:snapToGrid w:val="0"/>
        <w:spacing w:line="360" w:lineRule="auto"/>
        <w:ind w:firstLine="560" w:firstLineChars="200"/>
        <w:jc w:val="left"/>
        <w:rPr>
          <w:rFonts w:ascii="仿宋_GB2312" w:hAnsi="宋体" w:eastAsia="仿宋_GB2312" w:cs="宋体"/>
          <w:b/>
          <w:bCs/>
          <w:color w:val="000000"/>
          <w:kern w:val="36"/>
          <w:szCs w:val="28"/>
        </w:rPr>
      </w:pPr>
      <w:r>
        <w:rPr>
          <w:rFonts w:hint="eastAsia" w:ascii="仿宋_GB2312" w:eastAsia="仿宋_GB2312"/>
          <w:szCs w:val="28"/>
        </w:rPr>
        <w:t>7.投诉人为自然人的，投诉书应当由本人签字；投诉人为法人或者其他组织的，投诉书应当由法定代表人、主要负责人，或者其授权代表签字或者盖章，并加盖公章。</w:t>
      </w:r>
    </w:p>
    <w:p>
      <w:pPr>
        <w:adjustRightInd w:val="0"/>
        <w:snapToGrid w:val="0"/>
        <w:spacing w:line="360" w:lineRule="auto"/>
        <w:rPr>
          <w:rFonts w:ascii="仿宋_GB2312" w:hAnsi="宋体" w:eastAsia="仿宋_GB2312" w:cs="宋体"/>
          <w:b/>
          <w:bCs/>
          <w:sz w:val="32"/>
          <w:szCs w:val="32"/>
        </w:rPr>
      </w:pPr>
    </w:p>
    <w:p>
      <w:pPr>
        <w:adjustRightInd w:val="0"/>
        <w:snapToGrid w:val="0"/>
        <w:spacing w:line="360" w:lineRule="auto"/>
        <w:rPr>
          <w:rFonts w:ascii="仿宋_GB2312" w:hAnsi="宋体" w:eastAsia="仿宋_GB2312" w:cs="宋体"/>
          <w:b/>
          <w:bCs/>
          <w:sz w:val="32"/>
          <w:szCs w:val="32"/>
        </w:rPr>
      </w:pPr>
    </w:p>
    <w:p>
      <w:pPr>
        <w:rPr>
          <w:rFonts w:ascii="仿宋_GB2312" w:eastAsia="仿宋_GB2312"/>
          <w:sz w:val="24"/>
          <w:szCs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5</w:t>
    </w:r>
    <w:r>
      <w:rPr>
        <w:lang w:val="zh-CN"/>
      </w:rPr>
      <w:fldChar w:fldCharType="end"/>
    </w:r>
  </w:p>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81826"/>
    <w:multiLevelType w:val="singleLevel"/>
    <w:tmpl w:val="FE981826"/>
    <w:lvl w:ilvl="0" w:tentative="0">
      <w:start w:val="4"/>
      <w:numFmt w:val="chineseCounting"/>
      <w:suff w:val="space"/>
      <w:lvlText w:val="第%1章"/>
      <w:lvlJc w:val="left"/>
      <w:rPr>
        <w:rFonts w:hint="eastAsia"/>
      </w:rPr>
    </w:lvl>
  </w:abstractNum>
  <w:abstractNum w:abstractNumId="1">
    <w:nsid w:val="0186166D"/>
    <w:multiLevelType w:val="multilevel"/>
    <w:tmpl w:val="0186166D"/>
    <w:lvl w:ilvl="0" w:tentative="0">
      <w:start w:val="1"/>
      <w:numFmt w:val="decimal"/>
      <w:lvlText w:val="%1."/>
      <w:lvlJc w:val="left"/>
      <w:pPr>
        <w:tabs>
          <w:tab w:val="left" w:pos="480"/>
        </w:tabs>
        <w:ind w:left="480" w:hanging="360"/>
      </w:pPr>
      <w:rPr>
        <w:rFonts w:hint="default" w:cs="Times New Roman"/>
      </w:rPr>
    </w:lvl>
    <w:lvl w:ilvl="1" w:tentative="0">
      <w:start w:val="1"/>
      <w:numFmt w:val="lowerLetter"/>
      <w:lvlText w:val="%2)"/>
      <w:lvlJc w:val="left"/>
      <w:pPr>
        <w:tabs>
          <w:tab w:val="left" w:pos="960"/>
        </w:tabs>
        <w:ind w:left="960" w:hanging="420"/>
      </w:pPr>
      <w:rPr>
        <w:rFonts w:cs="Times New Roman"/>
      </w:rPr>
    </w:lvl>
    <w:lvl w:ilvl="2" w:tentative="0">
      <w:start w:val="1"/>
      <w:numFmt w:val="lowerRoman"/>
      <w:lvlText w:val="%3."/>
      <w:lvlJc w:val="right"/>
      <w:pPr>
        <w:tabs>
          <w:tab w:val="left" w:pos="1380"/>
        </w:tabs>
        <w:ind w:left="1380" w:hanging="420"/>
      </w:pPr>
      <w:rPr>
        <w:rFonts w:cs="Times New Roman"/>
      </w:rPr>
    </w:lvl>
    <w:lvl w:ilvl="3" w:tentative="0">
      <w:start w:val="1"/>
      <w:numFmt w:val="decimal"/>
      <w:lvlText w:val="%4."/>
      <w:lvlJc w:val="left"/>
      <w:pPr>
        <w:tabs>
          <w:tab w:val="left" w:pos="1800"/>
        </w:tabs>
        <w:ind w:left="1800" w:hanging="420"/>
      </w:pPr>
      <w:rPr>
        <w:rFonts w:cs="Times New Roman"/>
      </w:rPr>
    </w:lvl>
    <w:lvl w:ilvl="4" w:tentative="0">
      <w:start w:val="1"/>
      <w:numFmt w:val="lowerLetter"/>
      <w:lvlText w:val="%5)"/>
      <w:lvlJc w:val="left"/>
      <w:pPr>
        <w:tabs>
          <w:tab w:val="left" w:pos="2220"/>
        </w:tabs>
        <w:ind w:left="2220" w:hanging="420"/>
      </w:pPr>
      <w:rPr>
        <w:rFonts w:cs="Times New Roman"/>
      </w:rPr>
    </w:lvl>
    <w:lvl w:ilvl="5" w:tentative="0">
      <w:start w:val="1"/>
      <w:numFmt w:val="lowerRoman"/>
      <w:lvlText w:val="%6."/>
      <w:lvlJc w:val="right"/>
      <w:pPr>
        <w:tabs>
          <w:tab w:val="left" w:pos="2640"/>
        </w:tabs>
        <w:ind w:left="2640" w:hanging="420"/>
      </w:pPr>
      <w:rPr>
        <w:rFonts w:cs="Times New Roman"/>
      </w:rPr>
    </w:lvl>
    <w:lvl w:ilvl="6" w:tentative="0">
      <w:start w:val="1"/>
      <w:numFmt w:val="decimal"/>
      <w:lvlText w:val="%7."/>
      <w:lvlJc w:val="left"/>
      <w:pPr>
        <w:tabs>
          <w:tab w:val="left" w:pos="3060"/>
        </w:tabs>
        <w:ind w:left="3060" w:hanging="420"/>
      </w:pPr>
      <w:rPr>
        <w:rFonts w:cs="Times New Roman"/>
      </w:rPr>
    </w:lvl>
    <w:lvl w:ilvl="7" w:tentative="0">
      <w:start w:val="1"/>
      <w:numFmt w:val="lowerLetter"/>
      <w:lvlText w:val="%8)"/>
      <w:lvlJc w:val="left"/>
      <w:pPr>
        <w:tabs>
          <w:tab w:val="left" w:pos="3480"/>
        </w:tabs>
        <w:ind w:left="3480" w:hanging="420"/>
      </w:pPr>
      <w:rPr>
        <w:rFonts w:cs="Times New Roman"/>
      </w:rPr>
    </w:lvl>
    <w:lvl w:ilvl="8" w:tentative="0">
      <w:start w:val="1"/>
      <w:numFmt w:val="lowerRoman"/>
      <w:lvlText w:val="%9."/>
      <w:lvlJc w:val="right"/>
      <w:pPr>
        <w:tabs>
          <w:tab w:val="left" w:pos="3900"/>
        </w:tabs>
        <w:ind w:left="3900" w:hanging="420"/>
      </w:pPr>
      <w:rPr>
        <w:rFonts w:cs="Times New Roman"/>
      </w:rPr>
    </w:lvl>
  </w:abstractNum>
  <w:abstractNum w:abstractNumId="2">
    <w:nsid w:val="127D9B3B"/>
    <w:multiLevelType w:val="singleLevel"/>
    <w:tmpl w:val="127D9B3B"/>
    <w:lvl w:ilvl="0" w:tentative="0">
      <w:start w:val="1"/>
      <w:numFmt w:val="decimal"/>
      <w:suff w:val="nothing"/>
      <w:lvlText w:val="（%1）"/>
      <w:lvlJc w:val="left"/>
    </w:lvl>
  </w:abstractNum>
  <w:abstractNum w:abstractNumId="3">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5"/>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36"/>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41"/>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4">
    <w:nsid w:val="524D1167"/>
    <w:multiLevelType w:val="multilevel"/>
    <w:tmpl w:val="524D1167"/>
    <w:lvl w:ilvl="0" w:tentative="0">
      <w:start w:val="1"/>
      <w:numFmt w:val="chineseCountingThousand"/>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F9E0D8C"/>
    <w:multiLevelType w:val="multilevel"/>
    <w:tmpl w:val="5F9E0D8C"/>
    <w:lvl w:ilvl="0" w:tentative="0">
      <w:start w:val="1"/>
      <w:numFmt w:val="decimal"/>
      <w:lvlText w:val="%1."/>
      <w:lvlJc w:val="left"/>
      <w:pPr>
        <w:tabs>
          <w:tab w:val="left" w:pos="465"/>
        </w:tabs>
        <w:ind w:left="465"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7818718A"/>
    <w:multiLevelType w:val="multilevel"/>
    <w:tmpl w:val="7818718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M2NiOWI2ZDgxMTllNGI4ZWIwMTQ5NTRiMjMzYWYifQ=="/>
  </w:docVars>
  <w:rsids>
    <w:rsidRoot w:val="00BC5577"/>
    <w:rsid w:val="000014F5"/>
    <w:rsid w:val="00003BBB"/>
    <w:rsid w:val="00004A55"/>
    <w:rsid w:val="00006724"/>
    <w:rsid w:val="00015D90"/>
    <w:rsid w:val="00016B02"/>
    <w:rsid w:val="00017FCB"/>
    <w:rsid w:val="00022591"/>
    <w:rsid w:val="0002344D"/>
    <w:rsid w:val="00023EED"/>
    <w:rsid w:val="000259F2"/>
    <w:rsid w:val="00030FC8"/>
    <w:rsid w:val="00032E95"/>
    <w:rsid w:val="00032FC9"/>
    <w:rsid w:val="00042A48"/>
    <w:rsid w:val="00046790"/>
    <w:rsid w:val="00046EB7"/>
    <w:rsid w:val="0004704A"/>
    <w:rsid w:val="00047281"/>
    <w:rsid w:val="00052BE5"/>
    <w:rsid w:val="000542AB"/>
    <w:rsid w:val="00055060"/>
    <w:rsid w:val="00055D1C"/>
    <w:rsid w:val="00060CF9"/>
    <w:rsid w:val="0006100A"/>
    <w:rsid w:val="00061743"/>
    <w:rsid w:val="000626B6"/>
    <w:rsid w:val="0006430E"/>
    <w:rsid w:val="00070391"/>
    <w:rsid w:val="00072A64"/>
    <w:rsid w:val="00077034"/>
    <w:rsid w:val="0008070A"/>
    <w:rsid w:val="000810C1"/>
    <w:rsid w:val="00090EBA"/>
    <w:rsid w:val="000A1BBD"/>
    <w:rsid w:val="000A590D"/>
    <w:rsid w:val="000A5CF1"/>
    <w:rsid w:val="000C0658"/>
    <w:rsid w:val="000C3A9A"/>
    <w:rsid w:val="000C6236"/>
    <w:rsid w:val="000C6DC8"/>
    <w:rsid w:val="000D190D"/>
    <w:rsid w:val="000D6D14"/>
    <w:rsid w:val="000D6F52"/>
    <w:rsid w:val="000D7D36"/>
    <w:rsid w:val="000E1FF9"/>
    <w:rsid w:val="000E610B"/>
    <w:rsid w:val="000E6A02"/>
    <w:rsid w:val="000E6D4A"/>
    <w:rsid w:val="000E6DEB"/>
    <w:rsid w:val="000E7148"/>
    <w:rsid w:val="000E7510"/>
    <w:rsid w:val="000F04C7"/>
    <w:rsid w:val="000F4CE9"/>
    <w:rsid w:val="000F62AB"/>
    <w:rsid w:val="001021A1"/>
    <w:rsid w:val="001042C6"/>
    <w:rsid w:val="00104FE4"/>
    <w:rsid w:val="00111607"/>
    <w:rsid w:val="0011443D"/>
    <w:rsid w:val="00115B8E"/>
    <w:rsid w:val="0011765C"/>
    <w:rsid w:val="00121562"/>
    <w:rsid w:val="001231D0"/>
    <w:rsid w:val="00126E72"/>
    <w:rsid w:val="00126FED"/>
    <w:rsid w:val="00135FAA"/>
    <w:rsid w:val="001365B0"/>
    <w:rsid w:val="0014005F"/>
    <w:rsid w:val="00140136"/>
    <w:rsid w:val="00140CE4"/>
    <w:rsid w:val="0014204C"/>
    <w:rsid w:val="00142C11"/>
    <w:rsid w:val="00143D07"/>
    <w:rsid w:val="001446A0"/>
    <w:rsid w:val="0014716B"/>
    <w:rsid w:val="0015005C"/>
    <w:rsid w:val="00150DCB"/>
    <w:rsid w:val="00151752"/>
    <w:rsid w:val="00151BAA"/>
    <w:rsid w:val="0015318E"/>
    <w:rsid w:val="00163E61"/>
    <w:rsid w:val="00167162"/>
    <w:rsid w:val="001703B9"/>
    <w:rsid w:val="00172201"/>
    <w:rsid w:val="001751ED"/>
    <w:rsid w:val="00175C59"/>
    <w:rsid w:val="001764F4"/>
    <w:rsid w:val="0018074B"/>
    <w:rsid w:val="00180D64"/>
    <w:rsid w:val="00181B67"/>
    <w:rsid w:val="0018291F"/>
    <w:rsid w:val="0018464A"/>
    <w:rsid w:val="00184FC5"/>
    <w:rsid w:val="00192F29"/>
    <w:rsid w:val="001978D8"/>
    <w:rsid w:val="001A62D0"/>
    <w:rsid w:val="001B0855"/>
    <w:rsid w:val="001B08C2"/>
    <w:rsid w:val="001B1AFB"/>
    <w:rsid w:val="001B360C"/>
    <w:rsid w:val="001B37FC"/>
    <w:rsid w:val="001B3A1D"/>
    <w:rsid w:val="001B7B15"/>
    <w:rsid w:val="001C03AB"/>
    <w:rsid w:val="001C04E3"/>
    <w:rsid w:val="001C38D0"/>
    <w:rsid w:val="001C641B"/>
    <w:rsid w:val="001C647B"/>
    <w:rsid w:val="001C7A6B"/>
    <w:rsid w:val="001C7D36"/>
    <w:rsid w:val="001D2633"/>
    <w:rsid w:val="001D58A9"/>
    <w:rsid w:val="001D59B5"/>
    <w:rsid w:val="001D6EB9"/>
    <w:rsid w:val="001E0AFE"/>
    <w:rsid w:val="001E1616"/>
    <w:rsid w:val="001E3594"/>
    <w:rsid w:val="001E7A2C"/>
    <w:rsid w:val="00200AAC"/>
    <w:rsid w:val="00204069"/>
    <w:rsid w:val="00206979"/>
    <w:rsid w:val="00206AFC"/>
    <w:rsid w:val="00211DC4"/>
    <w:rsid w:val="00212CF7"/>
    <w:rsid w:val="00213CAB"/>
    <w:rsid w:val="00213CDD"/>
    <w:rsid w:val="002179BA"/>
    <w:rsid w:val="00223A2F"/>
    <w:rsid w:val="00224431"/>
    <w:rsid w:val="00224A8E"/>
    <w:rsid w:val="002251A1"/>
    <w:rsid w:val="00226064"/>
    <w:rsid w:val="0023393F"/>
    <w:rsid w:val="00235F9A"/>
    <w:rsid w:val="00235FFF"/>
    <w:rsid w:val="00240CAC"/>
    <w:rsid w:val="00241599"/>
    <w:rsid w:val="00241677"/>
    <w:rsid w:val="002452CB"/>
    <w:rsid w:val="00253084"/>
    <w:rsid w:val="002558D5"/>
    <w:rsid w:val="00257024"/>
    <w:rsid w:val="00261227"/>
    <w:rsid w:val="00263614"/>
    <w:rsid w:val="002679E3"/>
    <w:rsid w:val="00270053"/>
    <w:rsid w:val="00270964"/>
    <w:rsid w:val="002715B7"/>
    <w:rsid w:val="00272628"/>
    <w:rsid w:val="00273493"/>
    <w:rsid w:val="002736A2"/>
    <w:rsid w:val="002852CE"/>
    <w:rsid w:val="002872C1"/>
    <w:rsid w:val="0029067B"/>
    <w:rsid w:val="0029196D"/>
    <w:rsid w:val="00292163"/>
    <w:rsid w:val="00292AA6"/>
    <w:rsid w:val="00294697"/>
    <w:rsid w:val="00295D71"/>
    <w:rsid w:val="002976DF"/>
    <w:rsid w:val="002A6555"/>
    <w:rsid w:val="002A694A"/>
    <w:rsid w:val="002A6B9D"/>
    <w:rsid w:val="002B1C4F"/>
    <w:rsid w:val="002B4D61"/>
    <w:rsid w:val="002C0445"/>
    <w:rsid w:val="002C1E00"/>
    <w:rsid w:val="002C28E5"/>
    <w:rsid w:val="002C5D27"/>
    <w:rsid w:val="002D0555"/>
    <w:rsid w:val="002D6BE2"/>
    <w:rsid w:val="002D6C39"/>
    <w:rsid w:val="002D7725"/>
    <w:rsid w:val="002D7C26"/>
    <w:rsid w:val="002D7FBD"/>
    <w:rsid w:val="002E2F71"/>
    <w:rsid w:val="002E48EC"/>
    <w:rsid w:val="002E520A"/>
    <w:rsid w:val="002F0EE2"/>
    <w:rsid w:val="002F3A32"/>
    <w:rsid w:val="002F5830"/>
    <w:rsid w:val="002F6A4B"/>
    <w:rsid w:val="002F6DCC"/>
    <w:rsid w:val="0030165E"/>
    <w:rsid w:val="00304B9A"/>
    <w:rsid w:val="0031035E"/>
    <w:rsid w:val="00312989"/>
    <w:rsid w:val="0031766C"/>
    <w:rsid w:val="00321384"/>
    <w:rsid w:val="003223EB"/>
    <w:rsid w:val="00323754"/>
    <w:rsid w:val="003256F3"/>
    <w:rsid w:val="00327F3D"/>
    <w:rsid w:val="003328D1"/>
    <w:rsid w:val="0033360A"/>
    <w:rsid w:val="00336388"/>
    <w:rsid w:val="00340558"/>
    <w:rsid w:val="003414E3"/>
    <w:rsid w:val="00341D3A"/>
    <w:rsid w:val="00344CC8"/>
    <w:rsid w:val="00344EB5"/>
    <w:rsid w:val="00351AED"/>
    <w:rsid w:val="00352003"/>
    <w:rsid w:val="003535BA"/>
    <w:rsid w:val="00353FF9"/>
    <w:rsid w:val="0036161F"/>
    <w:rsid w:val="00361BCF"/>
    <w:rsid w:val="00365CD6"/>
    <w:rsid w:val="00367922"/>
    <w:rsid w:val="003733FA"/>
    <w:rsid w:val="00375E61"/>
    <w:rsid w:val="003767EF"/>
    <w:rsid w:val="00376D1E"/>
    <w:rsid w:val="0038139D"/>
    <w:rsid w:val="003818DA"/>
    <w:rsid w:val="00384CB4"/>
    <w:rsid w:val="003873AB"/>
    <w:rsid w:val="00387CD7"/>
    <w:rsid w:val="00387D5F"/>
    <w:rsid w:val="003965ED"/>
    <w:rsid w:val="003969AF"/>
    <w:rsid w:val="003A3478"/>
    <w:rsid w:val="003A7219"/>
    <w:rsid w:val="003A794F"/>
    <w:rsid w:val="003A7DF3"/>
    <w:rsid w:val="003B0510"/>
    <w:rsid w:val="003B231B"/>
    <w:rsid w:val="003B3878"/>
    <w:rsid w:val="003D00A4"/>
    <w:rsid w:val="003D0DF6"/>
    <w:rsid w:val="003D3EE0"/>
    <w:rsid w:val="003E1105"/>
    <w:rsid w:val="003E147F"/>
    <w:rsid w:val="003E27E5"/>
    <w:rsid w:val="003E5908"/>
    <w:rsid w:val="003F13AF"/>
    <w:rsid w:val="003F623C"/>
    <w:rsid w:val="00402AB9"/>
    <w:rsid w:val="00403799"/>
    <w:rsid w:val="004059C7"/>
    <w:rsid w:val="0040675B"/>
    <w:rsid w:val="00406DFB"/>
    <w:rsid w:val="00414CB9"/>
    <w:rsid w:val="00416DBA"/>
    <w:rsid w:val="00420272"/>
    <w:rsid w:val="004239F5"/>
    <w:rsid w:val="00423F69"/>
    <w:rsid w:val="0042556D"/>
    <w:rsid w:val="00426B83"/>
    <w:rsid w:val="0042749B"/>
    <w:rsid w:val="004302EF"/>
    <w:rsid w:val="0043033C"/>
    <w:rsid w:val="00431AF3"/>
    <w:rsid w:val="00433D70"/>
    <w:rsid w:val="00434069"/>
    <w:rsid w:val="00434860"/>
    <w:rsid w:val="00434CBD"/>
    <w:rsid w:val="00442B95"/>
    <w:rsid w:val="004444D6"/>
    <w:rsid w:val="0044519E"/>
    <w:rsid w:val="00446E0E"/>
    <w:rsid w:val="0045211C"/>
    <w:rsid w:val="00454BA9"/>
    <w:rsid w:val="00454BB3"/>
    <w:rsid w:val="00455DD0"/>
    <w:rsid w:val="00462C4B"/>
    <w:rsid w:val="0046384F"/>
    <w:rsid w:val="00463850"/>
    <w:rsid w:val="004704B0"/>
    <w:rsid w:val="00471368"/>
    <w:rsid w:val="004746C6"/>
    <w:rsid w:val="00482D6E"/>
    <w:rsid w:val="00483B5E"/>
    <w:rsid w:val="004868F5"/>
    <w:rsid w:val="004A11E8"/>
    <w:rsid w:val="004A36EE"/>
    <w:rsid w:val="004A608E"/>
    <w:rsid w:val="004A6BDB"/>
    <w:rsid w:val="004A721C"/>
    <w:rsid w:val="004A76DB"/>
    <w:rsid w:val="004B2956"/>
    <w:rsid w:val="004C28EA"/>
    <w:rsid w:val="004C31B0"/>
    <w:rsid w:val="004C47BC"/>
    <w:rsid w:val="004C73AD"/>
    <w:rsid w:val="004D0BDF"/>
    <w:rsid w:val="004D0DD7"/>
    <w:rsid w:val="004D1D0D"/>
    <w:rsid w:val="004D41A8"/>
    <w:rsid w:val="004D5269"/>
    <w:rsid w:val="004D62AB"/>
    <w:rsid w:val="004E1E16"/>
    <w:rsid w:val="004E42B5"/>
    <w:rsid w:val="004E46BD"/>
    <w:rsid w:val="004F04F3"/>
    <w:rsid w:val="004F15E7"/>
    <w:rsid w:val="005046F8"/>
    <w:rsid w:val="0050520E"/>
    <w:rsid w:val="0050712D"/>
    <w:rsid w:val="005075BB"/>
    <w:rsid w:val="00507A59"/>
    <w:rsid w:val="0051327B"/>
    <w:rsid w:val="00514CAF"/>
    <w:rsid w:val="005175F3"/>
    <w:rsid w:val="00520DCF"/>
    <w:rsid w:val="00522501"/>
    <w:rsid w:val="00522692"/>
    <w:rsid w:val="00522BD4"/>
    <w:rsid w:val="00524237"/>
    <w:rsid w:val="005329E0"/>
    <w:rsid w:val="0053459E"/>
    <w:rsid w:val="00541D1A"/>
    <w:rsid w:val="00547EA0"/>
    <w:rsid w:val="00551FEC"/>
    <w:rsid w:val="00554369"/>
    <w:rsid w:val="00555B79"/>
    <w:rsid w:val="00563274"/>
    <w:rsid w:val="005646E2"/>
    <w:rsid w:val="005647BC"/>
    <w:rsid w:val="00565458"/>
    <w:rsid w:val="00567904"/>
    <w:rsid w:val="005700B7"/>
    <w:rsid w:val="00572B02"/>
    <w:rsid w:val="00573087"/>
    <w:rsid w:val="00575E3D"/>
    <w:rsid w:val="00577422"/>
    <w:rsid w:val="005811F4"/>
    <w:rsid w:val="00584838"/>
    <w:rsid w:val="00590DBB"/>
    <w:rsid w:val="0059282D"/>
    <w:rsid w:val="00595798"/>
    <w:rsid w:val="005969EE"/>
    <w:rsid w:val="0059793A"/>
    <w:rsid w:val="005A0BF7"/>
    <w:rsid w:val="005A2B3C"/>
    <w:rsid w:val="005A5F4F"/>
    <w:rsid w:val="005B2B83"/>
    <w:rsid w:val="005B5553"/>
    <w:rsid w:val="005B5E8D"/>
    <w:rsid w:val="005C71AE"/>
    <w:rsid w:val="005C7E59"/>
    <w:rsid w:val="005D162A"/>
    <w:rsid w:val="005D1DFE"/>
    <w:rsid w:val="005D3707"/>
    <w:rsid w:val="005D3F9D"/>
    <w:rsid w:val="005D771C"/>
    <w:rsid w:val="005D7841"/>
    <w:rsid w:val="005E3EE5"/>
    <w:rsid w:val="005F0FE5"/>
    <w:rsid w:val="005F4905"/>
    <w:rsid w:val="005F4BA2"/>
    <w:rsid w:val="005F58D0"/>
    <w:rsid w:val="005F5C48"/>
    <w:rsid w:val="005F6BC9"/>
    <w:rsid w:val="00603DF9"/>
    <w:rsid w:val="00615114"/>
    <w:rsid w:val="00620207"/>
    <w:rsid w:val="00625F4E"/>
    <w:rsid w:val="006263E4"/>
    <w:rsid w:val="00627A2F"/>
    <w:rsid w:val="00632C96"/>
    <w:rsid w:val="0063665D"/>
    <w:rsid w:val="00641EB6"/>
    <w:rsid w:val="00642F2F"/>
    <w:rsid w:val="006431B1"/>
    <w:rsid w:val="00646335"/>
    <w:rsid w:val="00647961"/>
    <w:rsid w:val="00647C2E"/>
    <w:rsid w:val="00647F8D"/>
    <w:rsid w:val="006542A8"/>
    <w:rsid w:val="00672C2F"/>
    <w:rsid w:val="006733DF"/>
    <w:rsid w:val="006737C4"/>
    <w:rsid w:val="00673AF2"/>
    <w:rsid w:val="006742A6"/>
    <w:rsid w:val="006774A7"/>
    <w:rsid w:val="00681C46"/>
    <w:rsid w:val="0068287D"/>
    <w:rsid w:val="006844BA"/>
    <w:rsid w:val="0068485A"/>
    <w:rsid w:val="00686A3C"/>
    <w:rsid w:val="0069130E"/>
    <w:rsid w:val="00692A19"/>
    <w:rsid w:val="006930D6"/>
    <w:rsid w:val="00694664"/>
    <w:rsid w:val="00696B74"/>
    <w:rsid w:val="006A0842"/>
    <w:rsid w:val="006A1690"/>
    <w:rsid w:val="006A1FE9"/>
    <w:rsid w:val="006A28FE"/>
    <w:rsid w:val="006A44C6"/>
    <w:rsid w:val="006A5E3A"/>
    <w:rsid w:val="006B014D"/>
    <w:rsid w:val="006B2C5F"/>
    <w:rsid w:val="006B6FDF"/>
    <w:rsid w:val="006C16AF"/>
    <w:rsid w:val="006C3516"/>
    <w:rsid w:val="006C4228"/>
    <w:rsid w:val="006C771B"/>
    <w:rsid w:val="006D073A"/>
    <w:rsid w:val="006D12E5"/>
    <w:rsid w:val="006D169F"/>
    <w:rsid w:val="006D210C"/>
    <w:rsid w:val="006D6348"/>
    <w:rsid w:val="006D6C7B"/>
    <w:rsid w:val="006D70CD"/>
    <w:rsid w:val="006D768A"/>
    <w:rsid w:val="006E1D68"/>
    <w:rsid w:val="006E2FE6"/>
    <w:rsid w:val="006E3820"/>
    <w:rsid w:val="006E5075"/>
    <w:rsid w:val="006E5253"/>
    <w:rsid w:val="006E5C73"/>
    <w:rsid w:val="006E6048"/>
    <w:rsid w:val="006E7053"/>
    <w:rsid w:val="006F6479"/>
    <w:rsid w:val="00702D7E"/>
    <w:rsid w:val="007040F9"/>
    <w:rsid w:val="007046A7"/>
    <w:rsid w:val="00707C58"/>
    <w:rsid w:val="00707CC8"/>
    <w:rsid w:val="007110E8"/>
    <w:rsid w:val="0071278B"/>
    <w:rsid w:val="00715842"/>
    <w:rsid w:val="00716208"/>
    <w:rsid w:val="0071652C"/>
    <w:rsid w:val="007168C1"/>
    <w:rsid w:val="00716A7C"/>
    <w:rsid w:val="0072166B"/>
    <w:rsid w:val="00724544"/>
    <w:rsid w:val="00735788"/>
    <w:rsid w:val="00735BA4"/>
    <w:rsid w:val="00737EC0"/>
    <w:rsid w:val="0074259D"/>
    <w:rsid w:val="0074270E"/>
    <w:rsid w:val="007434E4"/>
    <w:rsid w:val="00744CA7"/>
    <w:rsid w:val="00744F24"/>
    <w:rsid w:val="00764077"/>
    <w:rsid w:val="00765D64"/>
    <w:rsid w:val="0076666B"/>
    <w:rsid w:val="00770769"/>
    <w:rsid w:val="00775766"/>
    <w:rsid w:val="00776E88"/>
    <w:rsid w:val="00777DA2"/>
    <w:rsid w:val="00777DF9"/>
    <w:rsid w:val="007801F7"/>
    <w:rsid w:val="007812FB"/>
    <w:rsid w:val="00783B28"/>
    <w:rsid w:val="0078407F"/>
    <w:rsid w:val="00785772"/>
    <w:rsid w:val="007872F5"/>
    <w:rsid w:val="00790186"/>
    <w:rsid w:val="00792355"/>
    <w:rsid w:val="00793D6A"/>
    <w:rsid w:val="00797CF0"/>
    <w:rsid w:val="007A4794"/>
    <w:rsid w:val="007B14BE"/>
    <w:rsid w:val="007B2E76"/>
    <w:rsid w:val="007B3D86"/>
    <w:rsid w:val="007B71C1"/>
    <w:rsid w:val="007B7A38"/>
    <w:rsid w:val="007C7664"/>
    <w:rsid w:val="007D2766"/>
    <w:rsid w:val="007D4103"/>
    <w:rsid w:val="007E3268"/>
    <w:rsid w:val="007E59C0"/>
    <w:rsid w:val="007F1B69"/>
    <w:rsid w:val="007F292A"/>
    <w:rsid w:val="007F3440"/>
    <w:rsid w:val="007F345E"/>
    <w:rsid w:val="007F4175"/>
    <w:rsid w:val="007F7BBF"/>
    <w:rsid w:val="0080268A"/>
    <w:rsid w:val="0080797F"/>
    <w:rsid w:val="008175B1"/>
    <w:rsid w:val="008243DC"/>
    <w:rsid w:val="0082650E"/>
    <w:rsid w:val="00827542"/>
    <w:rsid w:val="00833062"/>
    <w:rsid w:val="0083335C"/>
    <w:rsid w:val="0083374E"/>
    <w:rsid w:val="00834376"/>
    <w:rsid w:val="00835407"/>
    <w:rsid w:val="00836798"/>
    <w:rsid w:val="00843039"/>
    <w:rsid w:val="008446C2"/>
    <w:rsid w:val="00847CB0"/>
    <w:rsid w:val="00850DAC"/>
    <w:rsid w:val="00853EA8"/>
    <w:rsid w:val="0086035C"/>
    <w:rsid w:val="008631F1"/>
    <w:rsid w:val="00870454"/>
    <w:rsid w:val="0087319E"/>
    <w:rsid w:val="008734F8"/>
    <w:rsid w:val="0087389B"/>
    <w:rsid w:val="008740F7"/>
    <w:rsid w:val="00874DC8"/>
    <w:rsid w:val="008818C9"/>
    <w:rsid w:val="00883039"/>
    <w:rsid w:val="00885DDE"/>
    <w:rsid w:val="00887800"/>
    <w:rsid w:val="00890717"/>
    <w:rsid w:val="00891545"/>
    <w:rsid w:val="00892818"/>
    <w:rsid w:val="00892D36"/>
    <w:rsid w:val="00893852"/>
    <w:rsid w:val="00894C62"/>
    <w:rsid w:val="00894FC0"/>
    <w:rsid w:val="0089554F"/>
    <w:rsid w:val="008A07A1"/>
    <w:rsid w:val="008A0CE8"/>
    <w:rsid w:val="008A2229"/>
    <w:rsid w:val="008A2A34"/>
    <w:rsid w:val="008A2EDF"/>
    <w:rsid w:val="008B04C7"/>
    <w:rsid w:val="008B2325"/>
    <w:rsid w:val="008B2CFC"/>
    <w:rsid w:val="008B37F2"/>
    <w:rsid w:val="008B4F14"/>
    <w:rsid w:val="008B4F27"/>
    <w:rsid w:val="008B6E70"/>
    <w:rsid w:val="008C4B06"/>
    <w:rsid w:val="008C4D33"/>
    <w:rsid w:val="008C6F3E"/>
    <w:rsid w:val="008C7292"/>
    <w:rsid w:val="008C768F"/>
    <w:rsid w:val="008D16ED"/>
    <w:rsid w:val="008D71F1"/>
    <w:rsid w:val="008D7A47"/>
    <w:rsid w:val="008E0CC5"/>
    <w:rsid w:val="008E2781"/>
    <w:rsid w:val="008E6637"/>
    <w:rsid w:val="008F0706"/>
    <w:rsid w:val="008F532E"/>
    <w:rsid w:val="008F6D7E"/>
    <w:rsid w:val="00900CF3"/>
    <w:rsid w:val="00903DF1"/>
    <w:rsid w:val="00904A86"/>
    <w:rsid w:val="0091184A"/>
    <w:rsid w:val="009141DB"/>
    <w:rsid w:val="00914C3B"/>
    <w:rsid w:val="009222FC"/>
    <w:rsid w:val="0092396A"/>
    <w:rsid w:val="00926AA9"/>
    <w:rsid w:val="0092704A"/>
    <w:rsid w:val="00931FD5"/>
    <w:rsid w:val="00934AA7"/>
    <w:rsid w:val="00942ACE"/>
    <w:rsid w:val="00942E73"/>
    <w:rsid w:val="00944026"/>
    <w:rsid w:val="00952073"/>
    <w:rsid w:val="00952451"/>
    <w:rsid w:val="00952BDD"/>
    <w:rsid w:val="00953066"/>
    <w:rsid w:val="009574B6"/>
    <w:rsid w:val="009608EC"/>
    <w:rsid w:val="00961EEF"/>
    <w:rsid w:val="00963C5D"/>
    <w:rsid w:val="009657C4"/>
    <w:rsid w:val="00965FC4"/>
    <w:rsid w:val="00966B74"/>
    <w:rsid w:val="009705F2"/>
    <w:rsid w:val="009712BC"/>
    <w:rsid w:val="009712EA"/>
    <w:rsid w:val="00971F54"/>
    <w:rsid w:val="00973A9D"/>
    <w:rsid w:val="009742FB"/>
    <w:rsid w:val="00974D68"/>
    <w:rsid w:val="00975F18"/>
    <w:rsid w:val="0097627A"/>
    <w:rsid w:val="009772F2"/>
    <w:rsid w:val="00982048"/>
    <w:rsid w:val="0098329F"/>
    <w:rsid w:val="009843FD"/>
    <w:rsid w:val="00984A2F"/>
    <w:rsid w:val="00986553"/>
    <w:rsid w:val="009924ED"/>
    <w:rsid w:val="00995F3C"/>
    <w:rsid w:val="0099624C"/>
    <w:rsid w:val="00996E14"/>
    <w:rsid w:val="009A3DB5"/>
    <w:rsid w:val="009A7914"/>
    <w:rsid w:val="009A7DC2"/>
    <w:rsid w:val="009B05DD"/>
    <w:rsid w:val="009B2571"/>
    <w:rsid w:val="009B2C28"/>
    <w:rsid w:val="009B55DD"/>
    <w:rsid w:val="009B7614"/>
    <w:rsid w:val="009C0E71"/>
    <w:rsid w:val="009C2654"/>
    <w:rsid w:val="009C297A"/>
    <w:rsid w:val="009C3B34"/>
    <w:rsid w:val="009C45E3"/>
    <w:rsid w:val="009C486C"/>
    <w:rsid w:val="009C54AA"/>
    <w:rsid w:val="009C69B0"/>
    <w:rsid w:val="009D3C55"/>
    <w:rsid w:val="009D3D62"/>
    <w:rsid w:val="009D3F15"/>
    <w:rsid w:val="009D78E3"/>
    <w:rsid w:val="009D7B7E"/>
    <w:rsid w:val="009E09F2"/>
    <w:rsid w:val="009E1155"/>
    <w:rsid w:val="009E2C1D"/>
    <w:rsid w:val="009E451B"/>
    <w:rsid w:val="009F0E01"/>
    <w:rsid w:val="009F22C0"/>
    <w:rsid w:val="009F6F9F"/>
    <w:rsid w:val="00A033CD"/>
    <w:rsid w:val="00A040DE"/>
    <w:rsid w:val="00A05270"/>
    <w:rsid w:val="00A0589A"/>
    <w:rsid w:val="00A06144"/>
    <w:rsid w:val="00A10B42"/>
    <w:rsid w:val="00A10DCC"/>
    <w:rsid w:val="00A12EEA"/>
    <w:rsid w:val="00A14369"/>
    <w:rsid w:val="00A14FEE"/>
    <w:rsid w:val="00A15BAE"/>
    <w:rsid w:val="00A17177"/>
    <w:rsid w:val="00A17A8E"/>
    <w:rsid w:val="00A21C1D"/>
    <w:rsid w:val="00A224F5"/>
    <w:rsid w:val="00A2480B"/>
    <w:rsid w:val="00A335B3"/>
    <w:rsid w:val="00A33B47"/>
    <w:rsid w:val="00A34392"/>
    <w:rsid w:val="00A416AA"/>
    <w:rsid w:val="00A46332"/>
    <w:rsid w:val="00A50D5B"/>
    <w:rsid w:val="00A5603D"/>
    <w:rsid w:val="00A60D37"/>
    <w:rsid w:val="00A61ADF"/>
    <w:rsid w:val="00A63EC0"/>
    <w:rsid w:val="00A6426C"/>
    <w:rsid w:val="00A6462A"/>
    <w:rsid w:val="00A65291"/>
    <w:rsid w:val="00A66C13"/>
    <w:rsid w:val="00A72A3A"/>
    <w:rsid w:val="00A743B1"/>
    <w:rsid w:val="00A81E33"/>
    <w:rsid w:val="00A82245"/>
    <w:rsid w:val="00A829E7"/>
    <w:rsid w:val="00A82BAF"/>
    <w:rsid w:val="00A8397B"/>
    <w:rsid w:val="00A83EDB"/>
    <w:rsid w:val="00A85CD3"/>
    <w:rsid w:val="00A8678B"/>
    <w:rsid w:val="00A86BD1"/>
    <w:rsid w:val="00A87D87"/>
    <w:rsid w:val="00A913E3"/>
    <w:rsid w:val="00A91789"/>
    <w:rsid w:val="00AA03FE"/>
    <w:rsid w:val="00AB04C2"/>
    <w:rsid w:val="00AB1A67"/>
    <w:rsid w:val="00AB4899"/>
    <w:rsid w:val="00AB6AA6"/>
    <w:rsid w:val="00AB6B31"/>
    <w:rsid w:val="00AC170B"/>
    <w:rsid w:val="00AC5A9C"/>
    <w:rsid w:val="00AC734F"/>
    <w:rsid w:val="00AD518B"/>
    <w:rsid w:val="00AD62C5"/>
    <w:rsid w:val="00AD6462"/>
    <w:rsid w:val="00AD6CB0"/>
    <w:rsid w:val="00AE3283"/>
    <w:rsid w:val="00AE4643"/>
    <w:rsid w:val="00AE4B4F"/>
    <w:rsid w:val="00AE4EC1"/>
    <w:rsid w:val="00AE5138"/>
    <w:rsid w:val="00AE687A"/>
    <w:rsid w:val="00AE74D4"/>
    <w:rsid w:val="00AF5A67"/>
    <w:rsid w:val="00AF64FC"/>
    <w:rsid w:val="00AF6D9A"/>
    <w:rsid w:val="00AF6E1A"/>
    <w:rsid w:val="00B00FBD"/>
    <w:rsid w:val="00B02BAA"/>
    <w:rsid w:val="00B04B33"/>
    <w:rsid w:val="00B05AD3"/>
    <w:rsid w:val="00B1034C"/>
    <w:rsid w:val="00B110D2"/>
    <w:rsid w:val="00B11ECB"/>
    <w:rsid w:val="00B12110"/>
    <w:rsid w:val="00B12DA1"/>
    <w:rsid w:val="00B1461F"/>
    <w:rsid w:val="00B14905"/>
    <w:rsid w:val="00B2734A"/>
    <w:rsid w:val="00B27473"/>
    <w:rsid w:val="00B333EF"/>
    <w:rsid w:val="00B33B8C"/>
    <w:rsid w:val="00B33D6A"/>
    <w:rsid w:val="00B37623"/>
    <w:rsid w:val="00B40D1E"/>
    <w:rsid w:val="00B415DB"/>
    <w:rsid w:val="00B42154"/>
    <w:rsid w:val="00B50CA0"/>
    <w:rsid w:val="00B53CA4"/>
    <w:rsid w:val="00B6143E"/>
    <w:rsid w:val="00B62AA7"/>
    <w:rsid w:val="00B64CB0"/>
    <w:rsid w:val="00B67285"/>
    <w:rsid w:val="00B70DEE"/>
    <w:rsid w:val="00B72F7B"/>
    <w:rsid w:val="00B74696"/>
    <w:rsid w:val="00B80E75"/>
    <w:rsid w:val="00B84C86"/>
    <w:rsid w:val="00B9316F"/>
    <w:rsid w:val="00B95E11"/>
    <w:rsid w:val="00B96E5A"/>
    <w:rsid w:val="00BA0C7A"/>
    <w:rsid w:val="00BB54AD"/>
    <w:rsid w:val="00BC0D51"/>
    <w:rsid w:val="00BC5577"/>
    <w:rsid w:val="00BD2BDB"/>
    <w:rsid w:val="00BD31C6"/>
    <w:rsid w:val="00BD3362"/>
    <w:rsid w:val="00BD3BF6"/>
    <w:rsid w:val="00BD3C08"/>
    <w:rsid w:val="00BD3E73"/>
    <w:rsid w:val="00BD7DFE"/>
    <w:rsid w:val="00BE3672"/>
    <w:rsid w:val="00BE5825"/>
    <w:rsid w:val="00BE5CA6"/>
    <w:rsid w:val="00C030E5"/>
    <w:rsid w:val="00C07C86"/>
    <w:rsid w:val="00C07D42"/>
    <w:rsid w:val="00C13D43"/>
    <w:rsid w:val="00C14B91"/>
    <w:rsid w:val="00C16665"/>
    <w:rsid w:val="00C21E22"/>
    <w:rsid w:val="00C23DF0"/>
    <w:rsid w:val="00C305C4"/>
    <w:rsid w:val="00C31149"/>
    <w:rsid w:val="00C423DB"/>
    <w:rsid w:val="00C43D8B"/>
    <w:rsid w:val="00C461D2"/>
    <w:rsid w:val="00C5229F"/>
    <w:rsid w:val="00C52A4C"/>
    <w:rsid w:val="00C549C3"/>
    <w:rsid w:val="00C54B26"/>
    <w:rsid w:val="00C55F35"/>
    <w:rsid w:val="00C6189A"/>
    <w:rsid w:val="00C74631"/>
    <w:rsid w:val="00C754A0"/>
    <w:rsid w:val="00C800E9"/>
    <w:rsid w:val="00C80D9D"/>
    <w:rsid w:val="00C81119"/>
    <w:rsid w:val="00C8225A"/>
    <w:rsid w:val="00C8259E"/>
    <w:rsid w:val="00C86083"/>
    <w:rsid w:val="00C90006"/>
    <w:rsid w:val="00C91A02"/>
    <w:rsid w:val="00C94F66"/>
    <w:rsid w:val="00C95F19"/>
    <w:rsid w:val="00CA1C76"/>
    <w:rsid w:val="00CA7226"/>
    <w:rsid w:val="00CA7F2F"/>
    <w:rsid w:val="00CB580F"/>
    <w:rsid w:val="00CB7E1C"/>
    <w:rsid w:val="00CC0705"/>
    <w:rsid w:val="00CC78F5"/>
    <w:rsid w:val="00CD2123"/>
    <w:rsid w:val="00CE09CA"/>
    <w:rsid w:val="00CE0EB2"/>
    <w:rsid w:val="00CE6817"/>
    <w:rsid w:val="00D004B0"/>
    <w:rsid w:val="00D02C4B"/>
    <w:rsid w:val="00D039FA"/>
    <w:rsid w:val="00D04189"/>
    <w:rsid w:val="00D045A9"/>
    <w:rsid w:val="00D04F93"/>
    <w:rsid w:val="00D10E65"/>
    <w:rsid w:val="00D10EEE"/>
    <w:rsid w:val="00D15D20"/>
    <w:rsid w:val="00D17B62"/>
    <w:rsid w:val="00D23B91"/>
    <w:rsid w:val="00D2556F"/>
    <w:rsid w:val="00D269BF"/>
    <w:rsid w:val="00D30028"/>
    <w:rsid w:val="00D3196D"/>
    <w:rsid w:val="00D36FD3"/>
    <w:rsid w:val="00D377D9"/>
    <w:rsid w:val="00D40125"/>
    <w:rsid w:val="00D46FE7"/>
    <w:rsid w:val="00D53F1B"/>
    <w:rsid w:val="00D53F7F"/>
    <w:rsid w:val="00D548B2"/>
    <w:rsid w:val="00D56E1B"/>
    <w:rsid w:val="00D5797D"/>
    <w:rsid w:val="00D62A34"/>
    <w:rsid w:val="00D632A9"/>
    <w:rsid w:val="00D67019"/>
    <w:rsid w:val="00D8074E"/>
    <w:rsid w:val="00D837A7"/>
    <w:rsid w:val="00D84B5D"/>
    <w:rsid w:val="00D865A9"/>
    <w:rsid w:val="00D8798C"/>
    <w:rsid w:val="00D87D87"/>
    <w:rsid w:val="00D87DEB"/>
    <w:rsid w:val="00D916E8"/>
    <w:rsid w:val="00D9231C"/>
    <w:rsid w:val="00D96790"/>
    <w:rsid w:val="00D97314"/>
    <w:rsid w:val="00DA3331"/>
    <w:rsid w:val="00DA38A4"/>
    <w:rsid w:val="00DB4103"/>
    <w:rsid w:val="00DB6EA8"/>
    <w:rsid w:val="00DC5C5B"/>
    <w:rsid w:val="00DC71E1"/>
    <w:rsid w:val="00DC73CC"/>
    <w:rsid w:val="00DD3583"/>
    <w:rsid w:val="00DE2318"/>
    <w:rsid w:val="00DF127A"/>
    <w:rsid w:val="00E036D8"/>
    <w:rsid w:val="00E05189"/>
    <w:rsid w:val="00E11000"/>
    <w:rsid w:val="00E11E8C"/>
    <w:rsid w:val="00E14555"/>
    <w:rsid w:val="00E16171"/>
    <w:rsid w:val="00E20202"/>
    <w:rsid w:val="00E2053A"/>
    <w:rsid w:val="00E274A4"/>
    <w:rsid w:val="00E278B4"/>
    <w:rsid w:val="00E30B7F"/>
    <w:rsid w:val="00E328EB"/>
    <w:rsid w:val="00E378C6"/>
    <w:rsid w:val="00E5087F"/>
    <w:rsid w:val="00E50EC0"/>
    <w:rsid w:val="00E5149D"/>
    <w:rsid w:val="00E515A1"/>
    <w:rsid w:val="00E54912"/>
    <w:rsid w:val="00E55313"/>
    <w:rsid w:val="00E622C0"/>
    <w:rsid w:val="00E6360C"/>
    <w:rsid w:val="00E636E6"/>
    <w:rsid w:val="00E640C4"/>
    <w:rsid w:val="00E643D7"/>
    <w:rsid w:val="00E646B7"/>
    <w:rsid w:val="00E65A46"/>
    <w:rsid w:val="00E70538"/>
    <w:rsid w:val="00E70862"/>
    <w:rsid w:val="00E722C2"/>
    <w:rsid w:val="00E77ACA"/>
    <w:rsid w:val="00E8067F"/>
    <w:rsid w:val="00E806CE"/>
    <w:rsid w:val="00E8143D"/>
    <w:rsid w:val="00E85D12"/>
    <w:rsid w:val="00E86793"/>
    <w:rsid w:val="00E87E01"/>
    <w:rsid w:val="00E90128"/>
    <w:rsid w:val="00E92B31"/>
    <w:rsid w:val="00EA15B1"/>
    <w:rsid w:val="00EA393C"/>
    <w:rsid w:val="00EA39D1"/>
    <w:rsid w:val="00EA6717"/>
    <w:rsid w:val="00EB0C2F"/>
    <w:rsid w:val="00EB2806"/>
    <w:rsid w:val="00EB3550"/>
    <w:rsid w:val="00EB4C4F"/>
    <w:rsid w:val="00EC22A0"/>
    <w:rsid w:val="00EC2384"/>
    <w:rsid w:val="00EC29DE"/>
    <w:rsid w:val="00EC4A62"/>
    <w:rsid w:val="00EC646E"/>
    <w:rsid w:val="00ED2695"/>
    <w:rsid w:val="00ED421D"/>
    <w:rsid w:val="00EE23F4"/>
    <w:rsid w:val="00EE2ABD"/>
    <w:rsid w:val="00EE2E10"/>
    <w:rsid w:val="00EE5CF8"/>
    <w:rsid w:val="00EE7443"/>
    <w:rsid w:val="00EF6465"/>
    <w:rsid w:val="00EF6F08"/>
    <w:rsid w:val="00EF70E5"/>
    <w:rsid w:val="00F05D87"/>
    <w:rsid w:val="00F06A12"/>
    <w:rsid w:val="00F06D65"/>
    <w:rsid w:val="00F12CDE"/>
    <w:rsid w:val="00F142BC"/>
    <w:rsid w:val="00F15032"/>
    <w:rsid w:val="00F157D1"/>
    <w:rsid w:val="00F1778B"/>
    <w:rsid w:val="00F179E6"/>
    <w:rsid w:val="00F26DDB"/>
    <w:rsid w:val="00F30644"/>
    <w:rsid w:val="00F312DE"/>
    <w:rsid w:val="00F31B89"/>
    <w:rsid w:val="00F31E6D"/>
    <w:rsid w:val="00F323E9"/>
    <w:rsid w:val="00F32BC1"/>
    <w:rsid w:val="00F401FD"/>
    <w:rsid w:val="00F55080"/>
    <w:rsid w:val="00F5599C"/>
    <w:rsid w:val="00F60EF2"/>
    <w:rsid w:val="00F60FC1"/>
    <w:rsid w:val="00F61507"/>
    <w:rsid w:val="00F6195E"/>
    <w:rsid w:val="00F61EB2"/>
    <w:rsid w:val="00F64848"/>
    <w:rsid w:val="00F64C0C"/>
    <w:rsid w:val="00F65477"/>
    <w:rsid w:val="00F66A70"/>
    <w:rsid w:val="00F70222"/>
    <w:rsid w:val="00F74B7B"/>
    <w:rsid w:val="00F809D6"/>
    <w:rsid w:val="00F82893"/>
    <w:rsid w:val="00F8357D"/>
    <w:rsid w:val="00F8380D"/>
    <w:rsid w:val="00F855B8"/>
    <w:rsid w:val="00F87AC7"/>
    <w:rsid w:val="00F90135"/>
    <w:rsid w:val="00F909D0"/>
    <w:rsid w:val="00F90B9D"/>
    <w:rsid w:val="00F91707"/>
    <w:rsid w:val="00F9592A"/>
    <w:rsid w:val="00F96430"/>
    <w:rsid w:val="00F96C14"/>
    <w:rsid w:val="00FA0FBF"/>
    <w:rsid w:val="00FA20A4"/>
    <w:rsid w:val="00FA3764"/>
    <w:rsid w:val="00FA60A5"/>
    <w:rsid w:val="00FA62DC"/>
    <w:rsid w:val="00FA7195"/>
    <w:rsid w:val="00FB11E8"/>
    <w:rsid w:val="00FB22B9"/>
    <w:rsid w:val="00FB28DC"/>
    <w:rsid w:val="00FB2AFA"/>
    <w:rsid w:val="00FB699B"/>
    <w:rsid w:val="00FC00FC"/>
    <w:rsid w:val="00FC3B49"/>
    <w:rsid w:val="00FC3EC2"/>
    <w:rsid w:val="00FC5CB8"/>
    <w:rsid w:val="00FD0709"/>
    <w:rsid w:val="00FD2E79"/>
    <w:rsid w:val="00FD72AB"/>
    <w:rsid w:val="00FE0527"/>
    <w:rsid w:val="00FE4346"/>
    <w:rsid w:val="00FE6609"/>
    <w:rsid w:val="00FF271A"/>
    <w:rsid w:val="00FF50E0"/>
    <w:rsid w:val="00FF5967"/>
    <w:rsid w:val="01157CCA"/>
    <w:rsid w:val="014B1C38"/>
    <w:rsid w:val="0298293C"/>
    <w:rsid w:val="02EB0F66"/>
    <w:rsid w:val="030B1590"/>
    <w:rsid w:val="03164992"/>
    <w:rsid w:val="033B177D"/>
    <w:rsid w:val="0374238F"/>
    <w:rsid w:val="03A01301"/>
    <w:rsid w:val="03F106F6"/>
    <w:rsid w:val="0432311F"/>
    <w:rsid w:val="04910E13"/>
    <w:rsid w:val="04E55E3A"/>
    <w:rsid w:val="054A30CB"/>
    <w:rsid w:val="055F6389"/>
    <w:rsid w:val="05C96A15"/>
    <w:rsid w:val="078D1C71"/>
    <w:rsid w:val="07AB0349"/>
    <w:rsid w:val="07B62A5A"/>
    <w:rsid w:val="09296F01"/>
    <w:rsid w:val="0940696F"/>
    <w:rsid w:val="09564F15"/>
    <w:rsid w:val="09A84CAA"/>
    <w:rsid w:val="09AC2920"/>
    <w:rsid w:val="0A4546CD"/>
    <w:rsid w:val="0A5B7E05"/>
    <w:rsid w:val="0A9D2C05"/>
    <w:rsid w:val="0AD639E4"/>
    <w:rsid w:val="0B7A69B0"/>
    <w:rsid w:val="0BF978D5"/>
    <w:rsid w:val="0C5D773D"/>
    <w:rsid w:val="0D7754CF"/>
    <w:rsid w:val="0D7E2A6A"/>
    <w:rsid w:val="0DA16FB4"/>
    <w:rsid w:val="0DE65A99"/>
    <w:rsid w:val="0E7E3960"/>
    <w:rsid w:val="0ECE2C8D"/>
    <w:rsid w:val="0FED59A3"/>
    <w:rsid w:val="107556EE"/>
    <w:rsid w:val="10A328AC"/>
    <w:rsid w:val="10CA7A92"/>
    <w:rsid w:val="11097CFF"/>
    <w:rsid w:val="11420EA7"/>
    <w:rsid w:val="11A93BAF"/>
    <w:rsid w:val="126F08F1"/>
    <w:rsid w:val="12A869B3"/>
    <w:rsid w:val="12DB5F87"/>
    <w:rsid w:val="133C6BF2"/>
    <w:rsid w:val="134D6D48"/>
    <w:rsid w:val="13914897"/>
    <w:rsid w:val="13AE4F6A"/>
    <w:rsid w:val="144C1F9A"/>
    <w:rsid w:val="14863CD0"/>
    <w:rsid w:val="14FE5F5C"/>
    <w:rsid w:val="15506886"/>
    <w:rsid w:val="159C294C"/>
    <w:rsid w:val="162C38CF"/>
    <w:rsid w:val="171262BF"/>
    <w:rsid w:val="17252284"/>
    <w:rsid w:val="17464FEC"/>
    <w:rsid w:val="177B58CD"/>
    <w:rsid w:val="179606CE"/>
    <w:rsid w:val="18020BC4"/>
    <w:rsid w:val="186500A0"/>
    <w:rsid w:val="18835AD4"/>
    <w:rsid w:val="18B051AF"/>
    <w:rsid w:val="18E70052"/>
    <w:rsid w:val="18F953B8"/>
    <w:rsid w:val="19254BEF"/>
    <w:rsid w:val="193E2DCB"/>
    <w:rsid w:val="19DC3498"/>
    <w:rsid w:val="1A07319C"/>
    <w:rsid w:val="1A33516B"/>
    <w:rsid w:val="1B4F4CC3"/>
    <w:rsid w:val="1B7570E3"/>
    <w:rsid w:val="1BA211E7"/>
    <w:rsid w:val="1C88217A"/>
    <w:rsid w:val="1E2D6CC4"/>
    <w:rsid w:val="1E4075E6"/>
    <w:rsid w:val="1F025BBE"/>
    <w:rsid w:val="1FCC554E"/>
    <w:rsid w:val="1FD03D76"/>
    <w:rsid w:val="203877A5"/>
    <w:rsid w:val="20EB3EDD"/>
    <w:rsid w:val="211D3C0E"/>
    <w:rsid w:val="21A428FD"/>
    <w:rsid w:val="21FE134A"/>
    <w:rsid w:val="228869AA"/>
    <w:rsid w:val="22C22324"/>
    <w:rsid w:val="23567244"/>
    <w:rsid w:val="236513B9"/>
    <w:rsid w:val="24B5162E"/>
    <w:rsid w:val="24D82326"/>
    <w:rsid w:val="261507FA"/>
    <w:rsid w:val="26566759"/>
    <w:rsid w:val="26DD1E76"/>
    <w:rsid w:val="27717DCB"/>
    <w:rsid w:val="281D1648"/>
    <w:rsid w:val="28574F87"/>
    <w:rsid w:val="28AF482A"/>
    <w:rsid w:val="291347BC"/>
    <w:rsid w:val="291D580A"/>
    <w:rsid w:val="29674BDA"/>
    <w:rsid w:val="29831EC9"/>
    <w:rsid w:val="29913DEF"/>
    <w:rsid w:val="29B44350"/>
    <w:rsid w:val="2A30050E"/>
    <w:rsid w:val="2ADF5772"/>
    <w:rsid w:val="2B2F385B"/>
    <w:rsid w:val="2B9343A5"/>
    <w:rsid w:val="2C231C3E"/>
    <w:rsid w:val="2C43766C"/>
    <w:rsid w:val="2CF80A72"/>
    <w:rsid w:val="2D140C99"/>
    <w:rsid w:val="2D237126"/>
    <w:rsid w:val="2D31750C"/>
    <w:rsid w:val="2D962D7E"/>
    <w:rsid w:val="2DE634B9"/>
    <w:rsid w:val="2E1D349F"/>
    <w:rsid w:val="2EDF550D"/>
    <w:rsid w:val="2F407445"/>
    <w:rsid w:val="2FF43D8C"/>
    <w:rsid w:val="30202DD3"/>
    <w:rsid w:val="3025527A"/>
    <w:rsid w:val="30703BBD"/>
    <w:rsid w:val="30BA3228"/>
    <w:rsid w:val="30C91186"/>
    <w:rsid w:val="31495EDE"/>
    <w:rsid w:val="31921319"/>
    <w:rsid w:val="31BC6863"/>
    <w:rsid w:val="32FA2CBE"/>
    <w:rsid w:val="32FC59EE"/>
    <w:rsid w:val="338B35BF"/>
    <w:rsid w:val="34092461"/>
    <w:rsid w:val="34700F39"/>
    <w:rsid w:val="34E77996"/>
    <w:rsid w:val="34EF42C7"/>
    <w:rsid w:val="35EA3087"/>
    <w:rsid w:val="3639699D"/>
    <w:rsid w:val="36607CEC"/>
    <w:rsid w:val="36BD75CE"/>
    <w:rsid w:val="36EF1694"/>
    <w:rsid w:val="388443D5"/>
    <w:rsid w:val="38FB3C73"/>
    <w:rsid w:val="390659FB"/>
    <w:rsid w:val="390D1E7C"/>
    <w:rsid w:val="39C62C3D"/>
    <w:rsid w:val="39DA0497"/>
    <w:rsid w:val="3A014C0D"/>
    <w:rsid w:val="3A3D3FD1"/>
    <w:rsid w:val="3B0D6490"/>
    <w:rsid w:val="3B6A356D"/>
    <w:rsid w:val="3B7F39AE"/>
    <w:rsid w:val="3BAB4838"/>
    <w:rsid w:val="3BB6574C"/>
    <w:rsid w:val="3BF1493F"/>
    <w:rsid w:val="3C460065"/>
    <w:rsid w:val="3DCB6515"/>
    <w:rsid w:val="3E2E563A"/>
    <w:rsid w:val="3E547D6D"/>
    <w:rsid w:val="3EA52FF6"/>
    <w:rsid w:val="3F2969DF"/>
    <w:rsid w:val="3F646DBC"/>
    <w:rsid w:val="413E1806"/>
    <w:rsid w:val="43001B9C"/>
    <w:rsid w:val="43C16643"/>
    <w:rsid w:val="44E0509A"/>
    <w:rsid w:val="457774F2"/>
    <w:rsid w:val="45A10401"/>
    <w:rsid w:val="45C94FEF"/>
    <w:rsid w:val="462D2409"/>
    <w:rsid w:val="468E6891"/>
    <w:rsid w:val="47094169"/>
    <w:rsid w:val="47C1249E"/>
    <w:rsid w:val="481B4427"/>
    <w:rsid w:val="481E3C44"/>
    <w:rsid w:val="485756B9"/>
    <w:rsid w:val="48592ECE"/>
    <w:rsid w:val="48835154"/>
    <w:rsid w:val="4939003C"/>
    <w:rsid w:val="49FB423D"/>
    <w:rsid w:val="4A010EEA"/>
    <w:rsid w:val="4BF03B4A"/>
    <w:rsid w:val="4C8562A1"/>
    <w:rsid w:val="4CAC2800"/>
    <w:rsid w:val="4CD11285"/>
    <w:rsid w:val="4CFB5EE3"/>
    <w:rsid w:val="4D263AF9"/>
    <w:rsid w:val="4D4B074A"/>
    <w:rsid w:val="4DAD1CF2"/>
    <w:rsid w:val="4EF26D89"/>
    <w:rsid w:val="4FC205E1"/>
    <w:rsid w:val="502C74D1"/>
    <w:rsid w:val="507C6DB1"/>
    <w:rsid w:val="50F02837"/>
    <w:rsid w:val="513242BC"/>
    <w:rsid w:val="516F3CBE"/>
    <w:rsid w:val="517C5E2B"/>
    <w:rsid w:val="51C639B2"/>
    <w:rsid w:val="51F17F8E"/>
    <w:rsid w:val="52823DEE"/>
    <w:rsid w:val="529C0587"/>
    <w:rsid w:val="52EC4B4A"/>
    <w:rsid w:val="532113AD"/>
    <w:rsid w:val="53510242"/>
    <w:rsid w:val="54102DA0"/>
    <w:rsid w:val="54B565B4"/>
    <w:rsid w:val="5517751A"/>
    <w:rsid w:val="55794BB0"/>
    <w:rsid w:val="56194C24"/>
    <w:rsid w:val="569C48C5"/>
    <w:rsid w:val="56F05266"/>
    <w:rsid w:val="57164C89"/>
    <w:rsid w:val="57350A15"/>
    <w:rsid w:val="575168F3"/>
    <w:rsid w:val="58732C56"/>
    <w:rsid w:val="594D5E25"/>
    <w:rsid w:val="59E14756"/>
    <w:rsid w:val="5A7E4E4D"/>
    <w:rsid w:val="5AB55191"/>
    <w:rsid w:val="5C957923"/>
    <w:rsid w:val="5CA42F27"/>
    <w:rsid w:val="5CE11CAD"/>
    <w:rsid w:val="5D0F5ABF"/>
    <w:rsid w:val="5D283143"/>
    <w:rsid w:val="5DE021E2"/>
    <w:rsid w:val="5DFA5BF3"/>
    <w:rsid w:val="5E545B85"/>
    <w:rsid w:val="5E6301AB"/>
    <w:rsid w:val="5F765DB0"/>
    <w:rsid w:val="5F7F2DC3"/>
    <w:rsid w:val="608E6286"/>
    <w:rsid w:val="61076011"/>
    <w:rsid w:val="61834DEC"/>
    <w:rsid w:val="61F25ACE"/>
    <w:rsid w:val="622A6C63"/>
    <w:rsid w:val="62546789"/>
    <w:rsid w:val="62EF21DB"/>
    <w:rsid w:val="631D68AE"/>
    <w:rsid w:val="632D6F40"/>
    <w:rsid w:val="63AF1D1A"/>
    <w:rsid w:val="63F510AA"/>
    <w:rsid w:val="648E32AE"/>
    <w:rsid w:val="64A06B15"/>
    <w:rsid w:val="64D252BD"/>
    <w:rsid w:val="64EC5360"/>
    <w:rsid w:val="65412DFD"/>
    <w:rsid w:val="657F52AC"/>
    <w:rsid w:val="65C634F9"/>
    <w:rsid w:val="663A01C8"/>
    <w:rsid w:val="663C37BC"/>
    <w:rsid w:val="668B2466"/>
    <w:rsid w:val="66DB439B"/>
    <w:rsid w:val="66E003B2"/>
    <w:rsid w:val="672F50CE"/>
    <w:rsid w:val="67B33F51"/>
    <w:rsid w:val="6817729A"/>
    <w:rsid w:val="69964ECA"/>
    <w:rsid w:val="699E695C"/>
    <w:rsid w:val="69BF7E12"/>
    <w:rsid w:val="69FF0140"/>
    <w:rsid w:val="6B792DBC"/>
    <w:rsid w:val="6B9C09D1"/>
    <w:rsid w:val="6C2E4C0D"/>
    <w:rsid w:val="6DA6798D"/>
    <w:rsid w:val="6DED4397"/>
    <w:rsid w:val="6E9A5523"/>
    <w:rsid w:val="6EB04D47"/>
    <w:rsid w:val="6F370FC4"/>
    <w:rsid w:val="6F420D0F"/>
    <w:rsid w:val="6FAA3E8C"/>
    <w:rsid w:val="701B5C41"/>
    <w:rsid w:val="70B34FC2"/>
    <w:rsid w:val="70F2215A"/>
    <w:rsid w:val="71091718"/>
    <w:rsid w:val="71587B7E"/>
    <w:rsid w:val="715E7B64"/>
    <w:rsid w:val="7276222A"/>
    <w:rsid w:val="73197CE0"/>
    <w:rsid w:val="732A1BFA"/>
    <w:rsid w:val="73344FDD"/>
    <w:rsid w:val="73616E39"/>
    <w:rsid w:val="73C0694D"/>
    <w:rsid w:val="73D94D40"/>
    <w:rsid w:val="74A54B7B"/>
    <w:rsid w:val="751B270C"/>
    <w:rsid w:val="7532635D"/>
    <w:rsid w:val="759D3A0C"/>
    <w:rsid w:val="764364A0"/>
    <w:rsid w:val="768C17FB"/>
    <w:rsid w:val="77722493"/>
    <w:rsid w:val="77B9589C"/>
    <w:rsid w:val="78216CB5"/>
    <w:rsid w:val="78654DF4"/>
    <w:rsid w:val="79002FDD"/>
    <w:rsid w:val="796851DB"/>
    <w:rsid w:val="799534B7"/>
    <w:rsid w:val="79A864D4"/>
    <w:rsid w:val="7A2C2B5D"/>
    <w:rsid w:val="7A3C397B"/>
    <w:rsid w:val="7AAC4F5C"/>
    <w:rsid w:val="7BBB4D2B"/>
    <w:rsid w:val="7CBB28FC"/>
    <w:rsid w:val="7D2106AF"/>
    <w:rsid w:val="7D2D2186"/>
    <w:rsid w:val="7E486D4A"/>
    <w:rsid w:val="7E54777A"/>
    <w:rsid w:val="7EAC5BC9"/>
    <w:rsid w:val="7EE8612B"/>
    <w:rsid w:val="7EFE77F8"/>
    <w:rsid w:val="7F6041C6"/>
    <w:rsid w:val="7F7B7750"/>
    <w:rsid w:val="7FA2248A"/>
    <w:rsid w:val="7FCF2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qFormat="1" w:uiPriority="99" w:semiHidden="0"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50"/>
    <w:autoRedefine/>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3">
    <w:name w:val="heading 2"/>
    <w:basedOn w:val="1"/>
    <w:next w:val="1"/>
    <w:link w:val="51"/>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52"/>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53"/>
    <w:autoRedefine/>
    <w:qFormat/>
    <w:uiPriority w:val="9"/>
    <w:pPr>
      <w:keepNext/>
      <w:keepLines/>
      <w:spacing w:before="280" w:after="290" w:line="376" w:lineRule="auto"/>
      <w:outlineLvl w:val="3"/>
    </w:pPr>
    <w:rPr>
      <w:rFonts w:ascii="Cambria" w:hAnsi="Cambria"/>
      <w:b/>
      <w:bCs/>
      <w:szCs w:val="28"/>
    </w:rPr>
  </w:style>
  <w:style w:type="paragraph" w:styleId="6">
    <w:name w:val="heading 5"/>
    <w:basedOn w:val="1"/>
    <w:next w:val="1"/>
    <w:link w:val="54"/>
    <w:autoRedefine/>
    <w:qFormat/>
    <w:uiPriority w:val="9"/>
    <w:pPr>
      <w:keepNext/>
      <w:keepLines/>
      <w:spacing w:before="280" w:after="290" w:line="376" w:lineRule="auto"/>
      <w:outlineLvl w:val="4"/>
    </w:pPr>
    <w:rPr>
      <w:b/>
      <w:bCs/>
      <w:szCs w:val="28"/>
    </w:rPr>
  </w:style>
  <w:style w:type="paragraph" w:styleId="7">
    <w:name w:val="heading 6"/>
    <w:basedOn w:val="1"/>
    <w:next w:val="1"/>
    <w:link w:val="55"/>
    <w:autoRedefine/>
    <w:qFormat/>
    <w:uiPriority w:val="9"/>
    <w:pPr>
      <w:keepNext/>
      <w:keepLines/>
      <w:spacing w:before="240" w:after="64" w:line="320" w:lineRule="auto"/>
      <w:outlineLvl w:val="5"/>
    </w:pPr>
    <w:rPr>
      <w:rFonts w:ascii="Cambria" w:hAnsi="Cambria"/>
      <w:b/>
      <w:bCs/>
      <w:sz w:val="24"/>
      <w:szCs w:val="24"/>
    </w:rPr>
  </w:style>
  <w:style w:type="paragraph" w:styleId="8">
    <w:name w:val="heading 7"/>
    <w:basedOn w:val="1"/>
    <w:next w:val="1"/>
    <w:link w:val="56"/>
    <w:autoRedefine/>
    <w:qFormat/>
    <w:uiPriority w:val="9"/>
    <w:pPr>
      <w:keepNext/>
      <w:keepLines/>
      <w:spacing w:before="240" w:after="64" w:line="320" w:lineRule="auto"/>
      <w:outlineLvl w:val="6"/>
    </w:pPr>
    <w:rPr>
      <w:b/>
      <w:bCs/>
      <w:sz w:val="24"/>
      <w:szCs w:val="24"/>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9">
    <w:name w:val="Normal Indent"/>
    <w:basedOn w:val="1"/>
    <w:autoRedefine/>
    <w:qFormat/>
    <w:uiPriority w:val="0"/>
    <w:pPr>
      <w:ind w:firstLine="420"/>
    </w:pPr>
  </w:style>
  <w:style w:type="paragraph" w:styleId="10">
    <w:name w:val="annotation text"/>
    <w:basedOn w:val="1"/>
    <w:autoRedefine/>
    <w:qFormat/>
    <w:uiPriority w:val="0"/>
    <w:pPr>
      <w:jc w:val="left"/>
    </w:pPr>
    <w:rPr>
      <w:kern w:val="0"/>
      <w:sz w:val="21"/>
      <w:szCs w:val="21"/>
    </w:rPr>
  </w:style>
  <w:style w:type="paragraph" w:styleId="11">
    <w:name w:val="Body Text"/>
    <w:basedOn w:val="1"/>
    <w:autoRedefine/>
    <w:unhideWhenUsed/>
    <w:qFormat/>
    <w:uiPriority w:val="99"/>
    <w:pPr>
      <w:spacing w:after="120"/>
    </w:pPr>
  </w:style>
  <w:style w:type="paragraph" w:styleId="12">
    <w:name w:val="Body Text Indent"/>
    <w:basedOn w:val="1"/>
    <w:next w:val="13"/>
    <w:link w:val="49"/>
    <w:autoRedefine/>
    <w:qFormat/>
    <w:uiPriority w:val="0"/>
    <w:pPr>
      <w:spacing w:line="200" w:lineRule="atLeast"/>
      <w:ind w:firstLine="301"/>
    </w:pPr>
    <w:rPr>
      <w:rFonts w:ascii="宋体" w:hAnsi="Courier New"/>
      <w:spacing w:val="-4"/>
      <w:kern w:val="0"/>
      <w:sz w:val="18"/>
    </w:rPr>
  </w:style>
  <w:style w:type="paragraph" w:styleId="13">
    <w:name w:val="envelope return"/>
    <w:basedOn w:val="1"/>
    <w:autoRedefine/>
    <w:qFormat/>
    <w:uiPriority w:val="0"/>
    <w:pPr>
      <w:snapToGrid w:val="0"/>
    </w:pPr>
    <w:rPr>
      <w:rFonts w:ascii="Arial" w:hAnsi="Arial"/>
    </w:rPr>
  </w:style>
  <w:style w:type="paragraph" w:styleId="14">
    <w:name w:val="index 4"/>
    <w:basedOn w:val="1"/>
    <w:next w:val="1"/>
    <w:autoRedefine/>
    <w:qFormat/>
    <w:uiPriority w:val="99"/>
    <w:pPr>
      <w:ind w:left="600" w:leftChars="600"/>
    </w:pPr>
    <w:rPr>
      <w:szCs w:val="24"/>
    </w:rPr>
  </w:style>
  <w:style w:type="paragraph" w:styleId="15">
    <w:name w:val="Plain Text"/>
    <w:basedOn w:val="1"/>
    <w:link w:val="57"/>
    <w:autoRedefine/>
    <w:qFormat/>
    <w:uiPriority w:val="0"/>
    <w:pPr>
      <w:spacing w:beforeLines="50" w:afterLines="50" w:line="400" w:lineRule="atLeast"/>
    </w:pPr>
    <w:rPr>
      <w:rFonts w:ascii="宋体" w:hAnsi="Courier New"/>
      <w:kern w:val="0"/>
      <w:sz w:val="24"/>
    </w:rPr>
  </w:style>
  <w:style w:type="paragraph" w:styleId="16">
    <w:name w:val="Date"/>
    <w:basedOn w:val="1"/>
    <w:next w:val="1"/>
    <w:link w:val="58"/>
    <w:autoRedefine/>
    <w:unhideWhenUsed/>
    <w:qFormat/>
    <w:uiPriority w:val="99"/>
    <w:pPr>
      <w:ind w:left="100" w:leftChars="2500"/>
    </w:pPr>
  </w:style>
  <w:style w:type="paragraph" w:styleId="17">
    <w:name w:val="Balloon Text"/>
    <w:basedOn w:val="1"/>
    <w:link w:val="59"/>
    <w:autoRedefine/>
    <w:unhideWhenUsed/>
    <w:qFormat/>
    <w:uiPriority w:val="99"/>
    <w:rPr>
      <w:sz w:val="18"/>
      <w:szCs w:val="18"/>
    </w:rPr>
  </w:style>
  <w:style w:type="paragraph" w:styleId="18">
    <w:name w:val="footer"/>
    <w:basedOn w:val="1"/>
    <w:link w:val="60"/>
    <w:autoRedefine/>
    <w:unhideWhenUsed/>
    <w:qFormat/>
    <w:uiPriority w:val="99"/>
    <w:pPr>
      <w:tabs>
        <w:tab w:val="center" w:pos="4153"/>
        <w:tab w:val="right" w:pos="8306"/>
      </w:tabs>
      <w:snapToGrid w:val="0"/>
      <w:jc w:val="left"/>
    </w:pPr>
    <w:rPr>
      <w:sz w:val="18"/>
      <w:szCs w:val="18"/>
    </w:rPr>
  </w:style>
  <w:style w:type="paragraph" w:styleId="19">
    <w:name w:val="header"/>
    <w:basedOn w:val="1"/>
    <w:link w:val="6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unhideWhenUsed/>
    <w:qFormat/>
    <w:uiPriority w:val="39"/>
    <w:pPr>
      <w:tabs>
        <w:tab w:val="right" w:leader="dot" w:pos="8296"/>
      </w:tabs>
      <w:jc w:val="center"/>
    </w:pPr>
    <w:rPr>
      <w:rFonts w:ascii="华文中宋" w:hAnsi="华文中宋" w:eastAsia="华文中宋"/>
      <w:b/>
      <w:sz w:val="36"/>
      <w:szCs w:val="36"/>
    </w:rPr>
  </w:style>
  <w:style w:type="paragraph" w:styleId="21">
    <w:name w:val="List"/>
    <w:basedOn w:val="1"/>
    <w:autoRedefine/>
    <w:qFormat/>
    <w:uiPriority w:val="0"/>
    <w:pPr>
      <w:ind w:left="420" w:hanging="420"/>
    </w:pPr>
  </w:style>
  <w:style w:type="paragraph" w:styleId="22">
    <w:name w:val="index 7"/>
    <w:basedOn w:val="1"/>
    <w:next w:val="1"/>
    <w:autoRedefine/>
    <w:unhideWhenUsed/>
    <w:qFormat/>
    <w:uiPriority w:val="99"/>
    <w:pPr>
      <w:ind w:left="1200" w:leftChars="1200"/>
    </w:pPr>
  </w:style>
  <w:style w:type="paragraph" w:styleId="23">
    <w:name w:val="toc 2"/>
    <w:basedOn w:val="1"/>
    <w:next w:val="1"/>
    <w:autoRedefine/>
    <w:unhideWhenUsed/>
    <w:qFormat/>
    <w:uiPriority w:val="39"/>
    <w:pPr>
      <w:ind w:left="420" w:leftChars="200"/>
    </w:pPr>
  </w:style>
  <w:style w:type="paragraph" w:styleId="24">
    <w:name w:val="Normal (Web)"/>
    <w:basedOn w:val="1"/>
    <w:autoRedefine/>
    <w:qFormat/>
    <w:uiPriority w:val="0"/>
    <w:pPr>
      <w:widowControl/>
      <w:spacing w:before="100" w:beforeAutospacing="1" w:after="100" w:afterAutospacing="1"/>
      <w:ind w:firstLine="420"/>
      <w:jc w:val="left"/>
    </w:pPr>
    <w:rPr>
      <w:rFonts w:ascii="宋体" w:hAnsi="宋体"/>
      <w:kern w:val="0"/>
      <w:sz w:val="20"/>
    </w:rPr>
  </w:style>
  <w:style w:type="paragraph" w:styleId="25">
    <w:name w:val="Title"/>
    <w:basedOn w:val="1"/>
    <w:next w:val="1"/>
    <w:link w:val="62"/>
    <w:autoRedefine/>
    <w:qFormat/>
    <w:uiPriority w:val="10"/>
    <w:pPr>
      <w:spacing w:before="240" w:after="60"/>
      <w:jc w:val="center"/>
      <w:outlineLvl w:val="0"/>
    </w:pPr>
    <w:rPr>
      <w:rFonts w:ascii="Cambria" w:hAnsi="Cambria"/>
      <w:b/>
      <w:bCs/>
      <w:sz w:val="32"/>
      <w:szCs w:val="32"/>
    </w:rPr>
  </w:style>
  <w:style w:type="paragraph" w:styleId="26">
    <w:name w:val="Body Text First Indent 2"/>
    <w:basedOn w:val="12"/>
    <w:next w:val="21"/>
    <w:autoRedefine/>
    <w:qFormat/>
    <w:uiPriority w:val="0"/>
    <w:pPr>
      <w:ind w:firstLine="420" w:firstLineChars="200"/>
    </w:pPr>
  </w:style>
  <w:style w:type="table" w:styleId="28">
    <w:name w:val="Table Grid"/>
    <w:basedOn w:val="27"/>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bCs/>
    </w:rPr>
  </w:style>
  <w:style w:type="character" w:styleId="31">
    <w:name w:val="page number"/>
    <w:basedOn w:val="29"/>
    <w:autoRedefine/>
    <w:qFormat/>
    <w:uiPriority w:val="0"/>
  </w:style>
  <w:style w:type="character" w:styleId="32">
    <w:name w:val="Hyperlink"/>
    <w:basedOn w:val="29"/>
    <w:autoRedefine/>
    <w:unhideWhenUsed/>
    <w:qFormat/>
    <w:uiPriority w:val="99"/>
    <w:rPr>
      <w:color w:val="0000FF"/>
      <w:u w:val="single"/>
    </w:rPr>
  </w:style>
  <w:style w:type="paragraph" w:styleId="33">
    <w:name w:val="List Paragraph"/>
    <w:basedOn w:val="1"/>
    <w:link w:val="65"/>
    <w:autoRedefine/>
    <w:qFormat/>
    <w:uiPriority w:val="0"/>
    <w:pPr>
      <w:ind w:firstLine="420" w:firstLineChars="200"/>
    </w:pPr>
    <w:rPr>
      <w:kern w:val="0"/>
    </w:rPr>
  </w:style>
  <w:style w:type="paragraph" w:customStyle="1" w:styleId="34">
    <w:name w:val="正文 第一章"/>
    <w:basedOn w:val="1"/>
    <w:next w:val="35"/>
    <w:autoRedefine/>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35">
    <w:name w:val="正文 1.1"/>
    <w:basedOn w:val="1"/>
    <w:next w:val="36"/>
    <w:autoRedefine/>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36">
    <w:name w:val="正文 1.1.1"/>
    <w:basedOn w:val="1"/>
    <w:next w:val="1"/>
    <w:autoRedefine/>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37">
    <w:name w:val="正文空4格  1）"/>
    <w:basedOn w:val="1"/>
    <w:autoRedefine/>
    <w:qFormat/>
    <w:uiPriority w:val="0"/>
    <w:pPr>
      <w:adjustRightInd w:val="0"/>
      <w:spacing w:line="360" w:lineRule="auto"/>
      <w:ind w:firstLine="1120" w:firstLineChars="400"/>
      <w:textAlignment w:val="baseline"/>
    </w:pPr>
    <w:rPr>
      <w:rFonts w:ascii="宋体" w:eastAsia="仿宋" w:cs="宋体"/>
      <w:kern w:val="0"/>
    </w:rPr>
  </w:style>
  <w:style w:type="paragraph" w:customStyle="1" w:styleId="38">
    <w:name w:val="首行缩进"/>
    <w:basedOn w:val="1"/>
    <w:next w:val="1"/>
    <w:autoRedefine/>
    <w:qFormat/>
    <w:uiPriority w:val="0"/>
    <w:pPr>
      <w:spacing w:line="360" w:lineRule="auto"/>
      <w:ind w:firstLine="200" w:firstLineChars="200"/>
    </w:pPr>
    <w:rPr>
      <w:rFonts w:ascii="Calibri" w:hAnsi="Calibri"/>
      <w:sz w:val="24"/>
      <w:szCs w:val="21"/>
    </w:rPr>
  </w:style>
  <w:style w:type="paragraph" w:customStyle="1" w:styleId="39">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正文空2格  1."/>
    <w:basedOn w:val="1"/>
    <w:autoRedefine/>
    <w:qFormat/>
    <w:uiPriority w:val="0"/>
    <w:pPr>
      <w:adjustRightInd w:val="0"/>
      <w:spacing w:line="360" w:lineRule="auto"/>
      <w:ind w:firstLine="480" w:firstLineChars="200"/>
      <w:textAlignment w:val="baseline"/>
    </w:pPr>
    <w:rPr>
      <w:rFonts w:ascii="宋体" w:eastAsia="仿宋" w:cs="宋体"/>
      <w:kern w:val="0"/>
    </w:rPr>
  </w:style>
  <w:style w:type="paragraph" w:customStyle="1" w:styleId="41">
    <w:name w:val="第四级"/>
    <w:basedOn w:val="1"/>
    <w:next w:val="40"/>
    <w:autoRedefine/>
    <w:qFormat/>
    <w:uiPriority w:val="0"/>
    <w:pPr>
      <w:numPr>
        <w:ilvl w:val="3"/>
        <w:numId w:val="1"/>
      </w:numPr>
      <w:adjustRightInd w:val="0"/>
      <w:spacing w:line="360" w:lineRule="auto"/>
      <w:textAlignment w:val="baseline"/>
    </w:pPr>
    <w:rPr>
      <w:rFonts w:ascii="宋体" w:hAnsi="宋体" w:eastAsia="仿宋"/>
      <w:kern w:val="0"/>
      <w:szCs w:val="21"/>
    </w:rPr>
  </w:style>
  <w:style w:type="paragraph" w:styleId="42">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43">
    <w:name w:val="标题 2 New"/>
    <w:basedOn w:val="44"/>
    <w:next w:val="44"/>
    <w:autoRedefine/>
    <w:qFormat/>
    <w:uiPriority w:val="0"/>
    <w:pPr>
      <w:keepNext/>
      <w:keepLines/>
      <w:spacing w:before="260" w:after="260" w:line="413" w:lineRule="auto"/>
      <w:outlineLvl w:val="1"/>
    </w:pPr>
    <w:rPr>
      <w:rFonts w:ascii="Arial" w:hAnsi="Arial" w:eastAsia="黑体"/>
      <w:b/>
      <w:bCs/>
      <w:sz w:val="32"/>
      <w:szCs w:val="32"/>
    </w:rPr>
  </w:style>
  <w:style w:type="paragraph" w:customStyle="1" w:styleId="44">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正文_3_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Normal_0"/>
    <w:autoRedefine/>
    <w:qFormat/>
    <w:uiPriority w:val="99"/>
    <w:rPr>
      <w:rFonts w:ascii="Calibri" w:hAnsi="Calibri" w:eastAsia="宋体" w:cs="Times New Roman"/>
      <w:sz w:val="24"/>
      <w:szCs w:val="24"/>
      <w:lang w:val="en-US" w:eastAsia="zh-CN" w:bidi="ar-SA"/>
    </w:rPr>
  </w:style>
  <w:style w:type="paragraph" w:customStyle="1" w:styleId="48">
    <w:name w:val="Default"/>
    <w:next w:val="23"/>
    <w:autoRedefine/>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character" w:customStyle="1" w:styleId="49">
    <w:name w:val="正文文本缩进 字符"/>
    <w:link w:val="12"/>
    <w:autoRedefine/>
    <w:qFormat/>
    <w:locked/>
    <w:uiPriority w:val="0"/>
    <w:rPr>
      <w:rFonts w:ascii="宋体" w:hAnsi="Courier New" w:eastAsia="宋体"/>
      <w:spacing w:val="-4"/>
      <w:sz w:val="18"/>
    </w:rPr>
  </w:style>
  <w:style w:type="character" w:customStyle="1" w:styleId="50">
    <w:name w:val="标题 1 字符"/>
    <w:basedOn w:val="29"/>
    <w:link w:val="2"/>
    <w:autoRedefine/>
    <w:qFormat/>
    <w:uiPriority w:val="0"/>
    <w:rPr>
      <w:rFonts w:ascii="宋体" w:hAnsi="Arial" w:eastAsia="黑体" w:cs="Times New Roman"/>
      <w:b/>
      <w:bCs/>
      <w:color w:val="000000"/>
      <w:kern w:val="44"/>
      <w:sz w:val="36"/>
      <w:szCs w:val="32"/>
    </w:rPr>
  </w:style>
  <w:style w:type="character" w:customStyle="1" w:styleId="51">
    <w:name w:val="标题 2 字符"/>
    <w:basedOn w:val="29"/>
    <w:link w:val="3"/>
    <w:autoRedefine/>
    <w:semiHidden/>
    <w:qFormat/>
    <w:uiPriority w:val="9"/>
    <w:rPr>
      <w:rFonts w:ascii="Cambria" w:hAnsi="Cambria" w:eastAsia="宋体" w:cs="Times New Roman"/>
      <w:b/>
      <w:bCs/>
      <w:sz w:val="32"/>
      <w:szCs w:val="32"/>
    </w:rPr>
  </w:style>
  <w:style w:type="character" w:customStyle="1" w:styleId="52">
    <w:name w:val="标题 3 字符"/>
    <w:basedOn w:val="29"/>
    <w:link w:val="4"/>
    <w:autoRedefine/>
    <w:semiHidden/>
    <w:qFormat/>
    <w:uiPriority w:val="9"/>
    <w:rPr>
      <w:rFonts w:ascii="Times New Roman" w:hAnsi="Times New Roman" w:eastAsia="宋体" w:cs="Times New Roman"/>
      <w:b/>
      <w:bCs/>
      <w:sz w:val="32"/>
      <w:szCs w:val="32"/>
    </w:rPr>
  </w:style>
  <w:style w:type="character" w:customStyle="1" w:styleId="53">
    <w:name w:val="标题 4 字符"/>
    <w:basedOn w:val="29"/>
    <w:link w:val="5"/>
    <w:autoRedefine/>
    <w:semiHidden/>
    <w:qFormat/>
    <w:uiPriority w:val="9"/>
    <w:rPr>
      <w:rFonts w:ascii="Cambria" w:hAnsi="Cambria" w:eastAsia="宋体" w:cs="Times New Roman"/>
      <w:b/>
      <w:bCs/>
      <w:sz w:val="28"/>
      <w:szCs w:val="28"/>
    </w:rPr>
  </w:style>
  <w:style w:type="character" w:customStyle="1" w:styleId="54">
    <w:name w:val="标题 5 字符"/>
    <w:basedOn w:val="29"/>
    <w:link w:val="6"/>
    <w:autoRedefine/>
    <w:semiHidden/>
    <w:qFormat/>
    <w:uiPriority w:val="9"/>
    <w:rPr>
      <w:rFonts w:ascii="Times New Roman" w:hAnsi="Times New Roman" w:eastAsia="宋体" w:cs="Times New Roman"/>
      <w:b/>
      <w:bCs/>
      <w:sz w:val="28"/>
      <w:szCs w:val="28"/>
    </w:rPr>
  </w:style>
  <w:style w:type="character" w:customStyle="1" w:styleId="55">
    <w:name w:val="标题 6 字符"/>
    <w:basedOn w:val="29"/>
    <w:link w:val="7"/>
    <w:autoRedefine/>
    <w:semiHidden/>
    <w:qFormat/>
    <w:uiPriority w:val="9"/>
    <w:rPr>
      <w:rFonts w:ascii="Cambria" w:hAnsi="Cambria" w:eastAsia="宋体" w:cs="Times New Roman"/>
      <w:b/>
      <w:bCs/>
      <w:sz w:val="24"/>
      <w:szCs w:val="24"/>
    </w:rPr>
  </w:style>
  <w:style w:type="character" w:customStyle="1" w:styleId="56">
    <w:name w:val="标题 7 字符"/>
    <w:basedOn w:val="29"/>
    <w:link w:val="8"/>
    <w:autoRedefine/>
    <w:semiHidden/>
    <w:qFormat/>
    <w:uiPriority w:val="9"/>
    <w:rPr>
      <w:rFonts w:ascii="Times New Roman" w:hAnsi="Times New Roman" w:eastAsia="宋体" w:cs="Times New Roman"/>
      <w:b/>
      <w:bCs/>
      <w:sz w:val="24"/>
      <w:szCs w:val="24"/>
    </w:rPr>
  </w:style>
  <w:style w:type="character" w:customStyle="1" w:styleId="57">
    <w:name w:val="纯文本 字符"/>
    <w:link w:val="15"/>
    <w:autoRedefine/>
    <w:qFormat/>
    <w:uiPriority w:val="0"/>
    <w:rPr>
      <w:rFonts w:ascii="宋体" w:hAnsi="Courier New" w:eastAsia="宋体"/>
      <w:sz w:val="24"/>
    </w:rPr>
  </w:style>
  <w:style w:type="character" w:customStyle="1" w:styleId="58">
    <w:name w:val="日期 字符"/>
    <w:basedOn w:val="29"/>
    <w:link w:val="16"/>
    <w:autoRedefine/>
    <w:semiHidden/>
    <w:qFormat/>
    <w:uiPriority w:val="99"/>
    <w:rPr>
      <w:rFonts w:ascii="Times New Roman" w:hAnsi="Times New Roman" w:eastAsia="宋体" w:cs="Times New Roman"/>
      <w:sz w:val="28"/>
      <w:szCs w:val="20"/>
    </w:rPr>
  </w:style>
  <w:style w:type="character" w:customStyle="1" w:styleId="59">
    <w:name w:val="批注框文本 字符"/>
    <w:basedOn w:val="29"/>
    <w:link w:val="17"/>
    <w:autoRedefine/>
    <w:semiHidden/>
    <w:qFormat/>
    <w:uiPriority w:val="99"/>
    <w:rPr>
      <w:rFonts w:ascii="Times New Roman" w:hAnsi="Times New Roman" w:eastAsia="宋体" w:cs="Times New Roman"/>
      <w:sz w:val="18"/>
      <w:szCs w:val="18"/>
    </w:rPr>
  </w:style>
  <w:style w:type="character" w:customStyle="1" w:styleId="60">
    <w:name w:val="页脚 字符"/>
    <w:basedOn w:val="29"/>
    <w:link w:val="18"/>
    <w:autoRedefine/>
    <w:qFormat/>
    <w:uiPriority w:val="99"/>
    <w:rPr>
      <w:rFonts w:ascii="Times New Roman" w:hAnsi="Times New Roman" w:eastAsia="宋体" w:cs="Times New Roman"/>
      <w:sz w:val="18"/>
      <w:szCs w:val="18"/>
    </w:rPr>
  </w:style>
  <w:style w:type="character" w:customStyle="1" w:styleId="61">
    <w:name w:val="页眉 字符"/>
    <w:basedOn w:val="29"/>
    <w:link w:val="19"/>
    <w:autoRedefine/>
    <w:semiHidden/>
    <w:qFormat/>
    <w:uiPriority w:val="99"/>
    <w:rPr>
      <w:rFonts w:ascii="Times New Roman" w:hAnsi="Times New Roman" w:eastAsia="宋体" w:cs="Times New Roman"/>
      <w:sz w:val="18"/>
      <w:szCs w:val="18"/>
    </w:rPr>
  </w:style>
  <w:style w:type="character" w:customStyle="1" w:styleId="62">
    <w:name w:val="标题 字符"/>
    <w:basedOn w:val="29"/>
    <w:link w:val="25"/>
    <w:autoRedefine/>
    <w:qFormat/>
    <w:uiPriority w:val="10"/>
    <w:rPr>
      <w:rFonts w:ascii="Cambria" w:hAnsi="Cambria" w:eastAsia="宋体" w:cs="Times New Roman"/>
      <w:b/>
      <w:bCs/>
      <w:sz w:val="32"/>
      <w:szCs w:val="32"/>
    </w:rPr>
  </w:style>
  <w:style w:type="character" w:customStyle="1" w:styleId="63">
    <w:name w:val="正文文本缩进 Char1"/>
    <w:basedOn w:val="29"/>
    <w:autoRedefine/>
    <w:semiHidden/>
    <w:qFormat/>
    <w:uiPriority w:val="99"/>
    <w:rPr>
      <w:rFonts w:ascii="Times New Roman" w:hAnsi="Times New Roman" w:eastAsia="宋体" w:cs="Times New Roman"/>
      <w:sz w:val="28"/>
      <w:szCs w:val="20"/>
    </w:rPr>
  </w:style>
  <w:style w:type="character" w:customStyle="1" w:styleId="64">
    <w:name w:val="纯文本 Char"/>
    <w:basedOn w:val="29"/>
    <w:autoRedefine/>
    <w:semiHidden/>
    <w:qFormat/>
    <w:uiPriority w:val="99"/>
    <w:rPr>
      <w:rFonts w:ascii="宋体" w:hAnsi="Courier New" w:eastAsia="宋体" w:cs="Courier New"/>
      <w:szCs w:val="21"/>
    </w:rPr>
  </w:style>
  <w:style w:type="character" w:customStyle="1" w:styleId="65">
    <w:name w:val="列出段落 字符"/>
    <w:link w:val="33"/>
    <w:autoRedefine/>
    <w:qFormat/>
    <w:locked/>
    <w:uiPriority w:val="0"/>
    <w:rPr>
      <w:rFonts w:ascii="Times New Roman" w:hAnsi="Times New Roman" w:eastAsia="宋体" w:cs="Times New Roman"/>
      <w:sz w:val="28"/>
      <w:szCs w:val="20"/>
    </w:rPr>
  </w:style>
  <w:style w:type="character" w:customStyle="1" w:styleId="66">
    <w:name w:val="正文 第五章 中间"/>
    <w:autoRedefine/>
    <w:qFormat/>
    <w:uiPriority w:val="0"/>
    <w:rPr>
      <w:b/>
      <w:bCs/>
      <w:color w:val="000000"/>
      <w:sz w:val="32"/>
    </w:rPr>
  </w:style>
  <w:style w:type="character" w:customStyle="1" w:styleId="67">
    <w:name w:val="标题 3 Char"/>
    <w:autoRedefine/>
    <w:qFormat/>
    <w:uiPriority w:val="0"/>
    <w:rPr>
      <w:rFonts w:eastAsia="宋体"/>
      <w:b/>
      <w:bCs/>
      <w:kern w:val="2"/>
      <w:sz w:val="32"/>
      <w:szCs w:val="32"/>
      <w:lang w:val="en-US" w:eastAsia="zh-CN" w:bidi="ar-SA"/>
    </w:rPr>
  </w:style>
  <w:style w:type="paragraph" w:customStyle="1" w:styleId="68">
    <w:name w:val="xl31"/>
    <w:basedOn w:val="1"/>
    <w:autoRedefine/>
    <w:qFormat/>
    <w:uiPriority w:val="0"/>
    <w:pPr>
      <w:widowControl/>
      <w:spacing w:before="100" w:beforeAutospacing="1" w:after="100" w:afterAutospacing="1"/>
      <w:jc w:val="center"/>
    </w:pPr>
    <w:rPr>
      <w:rFonts w:ascii="宋体" w:hAnsi="宋体"/>
      <w:b/>
      <w:bCs/>
      <w:kern w:val="0"/>
      <w:szCs w:val="28"/>
    </w:rPr>
  </w:style>
  <w:style w:type="paragraph" w:customStyle="1" w:styleId="69">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正文_3"/>
    <w:basedOn w:val="1"/>
    <w:autoRedefine/>
    <w:qFormat/>
    <w:uiPriority w:val="0"/>
    <w:pPr>
      <w:jc w:val="center"/>
    </w:pPr>
    <w:rPr>
      <w:rFonts w:ascii="宋体" w:hAnsi="宋体"/>
      <w:b/>
      <w:sz w:val="44"/>
      <w:szCs w:val="44"/>
    </w:rPr>
  </w:style>
  <w:style w:type="paragraph" w:customStyle="1" w:styleId="71">
    <w:name w:val="text-tag1"/>
    <w:basedOn w:val="1"/>
    <w:autoRedefine/>
    <w:qFormat/>
    <w:uiPriority w:val="0"/>
    <w:pPr>
      <w:widowControl/>
      <w:spacing w:before="100" w:beforeAutospacing="1" w:after="100" w:afterAutospacing="1" w:line="357" w:lineRule="atLeast"/>
      <w:jc w:val="left"/>
      <w:textAlignment w:val="baseline"/>
    </w:pPr>
    <w:rPr>
      <w:rFonts w:ascii="宋体" w:hAnsi="宋体" w:cs="宋体"/>
      <w:color w:val="000000"/>
      <w:kern w:val="0"/>
      <w:sz w:val="24"/>
      <w:szCs w:val="20"/>
      <w:u w:val="none" w:color="00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54</Pages>
  <Words>18995</Words>
  <Characters>19686</Characters>
  <Lines>170</Lines>
  <Paragraphs>48</Paragraphs>
  <TotalTime>3</TotalTime>
  <ScaleCrop>false</ScaleCrop>
  <LinksUpToDate>false</LinksUpToDate>
  <CharactersWithSpaces>22553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2019-05-31T00:58:00Z</dcterms:created>
  <dc:creator>20110004</dc:creator>
  <cp:lastModifiedBy>Cris~</cp:lastModifiedBy>
  <cp:lastPrinted>2019-06-10T01:13:00Z</cp:lastPrinted>
  <dcterms:modified xsi:type="dcterms:W3CDTF">2024-05-08T08:53:27Z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EC2D55065EE9410B8AC07D03BAF4E20B</vt:lpwstr>
  </property>
</Properties>
</file>