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00" w:lineRule="exact"/>
        <w:jc w:val="left"/>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附件</w:t>
      </w:r>
    </w:p>
    <w:p>
      <w:pPr>
        <w:pStyle w:val="3"/>
        <w:spacing w:line="500" w:lineRule="exact"/>
        <w:jc w:val="center"/>
        <w:rPr>
          <w:rFonts w:hint="eastAsia" w:ascii="黑体" w:hAnsi="黑体" w:eastAsia="黑体"/>
          <w:lang w:eastAsia="zh-CN"/>
        </w:rPr>
      </w:pPr>
      <w:r>
        <w:rPr>
          <w:rFonts w:hint="eastAsia" w:ascii="黑体" w:hAnsi="黑体"/>
        </w:rPr>
        <w:t>第五章  评标办法及评分规则</w:t>
      </w:r>
      <w:r>
        <w:rPr>
          <w:rFonts w:hint="eastAsia" w:ascii="黑体" w:hAnsi="黑体"/>
          <w:lang w:eastAsia="zh-CN"/>
        </w:rPr>
        <w:t>（</w:t>
      </w:r>
      <w:r>
        <w:rPr>
          <w:rFonts w:hint="eastAsia" w:ascii="黑体" w:hAnsi="黑体"/>
          <w:lang w:val="en-US" w:eastAsia="zh-CN"/>
        </w:rPr>
        <w:t>更正后</w:t>
      </w:r>
      <w:r>
        <w:rPr>
          <w:rFonts w:hint="eastAsia" w:ascii="黑体" w:hAnsi="黑体"/>
          <w:lang w:eastAsia="zh-CN"/>
        </w:rPr>
        <w:t>）</w:t>
      </w:r>
    </w:p>
    <w:p>
      <w:pPr>
        <w:spacing w:line="360" w:lineRule="auto"/>
        <w:ind w:firstLine="482" w:firstLineChars="200"/>
        <w:rPr>
          <w:rFonts w:ascii="宋体" w:hAnsi="宋体"/>
          <w:b/>
          <w:sz w:val="24"/>
          <w:szCs w:val="24"/>
        </w:rPr>
      </w:pPr>
      <w:r>
        <w:rPr>
          <w:rFonts w:hint="eastAsia" w:ascii="宋体" w:hAnsi="宋体"/>
          <w:b/>
          <w:sz w:val="24"/>
          <w:szCs w:val="24"/>
        </w:rPr>
        <w:t xml:space="preserve">1.评审原则 </w:t>
      </w:r>
    </w:p>
    <w:p>
      <w:pPr>
        <w:spacing w:line="360" w:lineRule="auto"/>
        <w:ind w:firstLine="480" w:firstLineChars="200"/>
        <w:rPr>
          <w:rFonts w:ascii="宋体" w:hAnsi="宋体"/>
          <w:sz w:val="24"/>
          <w:szCs w:val="24"/>
        </w:rPr>
      </w:pPr>
      <w:r>
        <w:rPr>
          <w:rFonts w:hint="eastAsia" w:ascii="宋体" w:hAnsi="宋体"/>
          <w:sz w:val="24"/>
          <w:szCs w:val="24"/>
        </w:rPr>
        <w:t>1.1合法、合规原则。</w:t>
      </w:r>
    </w:p>
    <w:p>
      <w:pPr>
        <w:spacing w:line="360" w:lineRule="auto"/>
        <w:ind w:firstLine="480" w:firstLineChars="200"/>
        <w:rPr>
          <w:rFonts w:ascii="宋体" w:hAnsi="宋体"/>
          <w:sz w:val="24"/>
          <w:szCs w:val="24"/>
        </w:rPr>
      </w:pPr>
      <w:r>
        <w:rPr>
          <w:rFonts w:hint="eastAsia" w:ascii="宋体" w:hAnsi="宋体"/>
          <w:sz w:val="24"/>
          <w:szCs w:val="24"/>
        </w:rPr>
        <w:t>1.2符合公共资源交易规则原则。</w:t>
      </w:r>
    </w:p>
    <w:p>
      <w:pPr>
        <w:spacing w:line="360" w:lineRule="auto"/>
        <w:ind w:firstLine="480" w:firstLineChars="200"/>
        <w:rPr>
          <w:rFonts w:ascii="宋体" w:hAnsi="宋体"/>
          <w:sz w:val="24"/>
          <w:szCs w:val="24"/>
        </w:rPr>
      </w:pPr>
      <w:r>
        <w:rPr>
          <w:rFonts w:hint="eastAsia" w:ascii="宋体" w:hAnsi="宋体"/>
          <w:sz w:val="24"/>
          <w:szCs w:val="24"/>
        </w:rPr>
        <w:t>1.3公平、公正、科学、审慎、择优原则。</w:t>
      </w:r>
    </w:p>
    <w:p>
      <w:pPr>
        <w:spacing w:line="360" w:lineRule="auto"/>
        <w:ind w:firstLine="480" w:firstLineChars="200"/>
        <w:rPr>
          <w:rFonts w:ascii="宋体" w:hAnsi="宋体"/>
          <w:sz w:val="24"/>
          <w:szCs w:val="24"/>
        </w:rPr>
      </w:pPr>
      <w:r>
        <w:rPr>
          <w:rFonts w:hint="eastAsia" w:ascii="宋体" w:hAnsi="宋体"/>
          <w:sz w:val="24"/>
          <w:szCs w:val="24"/>
        </w:rPr>
        <w:t>1.4高分优先原则。衡量投标文件满足招标文件规定各项评审标准的程度，折算为综合得分分值，依据每个供应商的综合得分由高到低，依次确定排名顺序。</w:t>
      </w:r>
    </w:p>
    <w:p>
      <w:pPr>
        <w:spacing w:line="360" w:lineRule="auto"/>
        <w:ind w:firstLine="482" w:firstLineChars="200"/>
        <w:rPr>
          <w:rFonts w:ascii="宋体" w:hAnsi="宋体"/>
          <w:b/>
          <w:sz w:val="24"/>
          <w:szCs w:val="24"/>
        </w:rPr>
      </w:pPr>
      <w:r>
        <w:rPr>
          <w:rFonts w:hint="eastAsia" w:ascii="宋体" w:hAnsi="宋体"/>
          <w:b/>
          <w:sz w:val="24"/>
          <w:szCs w:val="24"/>
        </w:rPr>
        <w:t>2.评审分值分配(满分100分)</w:t>
      </w:r>
    </w:p>
    <w:p>
      <w:pPr>
        <w:spacing w:line="360" w:lineRule="auto"/>
        <w:ind w:firstLine="480" w:firstLineChars="200"/>
        <w:rPr>
          <w:rFonts w:ascii="宋体" w:hAnsi="宋体"/>
          <w:sz w:val="24"/>
          <w:szCs w:val="24"/>
        </w:rPr>
      </w:pPr>
      <w:r>
        <w:rPr>
          <w:rFonts w:hint="eastAsia" w:ascii="宋体" w:hAnsi="宋体"/>
          <w:sz w:val="24"/>
          <w:szCs w:val="24"/>
        </w:rPr>
        <w:t>2.1商务标（</w:t>
      </w:r>
      <w:r>
        <w:rPr>
          <w:rFonts w:hint="eastAsia" w:ascii="宋体" w:hAnsi="宋体"/>
          <w:sz w:val="24"/>
          <w:szCs w:val="24"/>
          <w:lang w:val="en-US" w:eastAsia="zh-CN"/>
        </w:rPr>
        <w:t>36</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 xml:space="preserve">2.1.1投标报价                    </w:t>
      </w:r>
      <w:r>
        <w:rPr>
          <w:rFonts w:hint="eastAsia" w:ascii="宋体" w:hAnsi="宋体"/>
          <w:sz w:val="24"/>
          <w:szCs w:val="24"/>
          <w:lang w:val="en-US" w:eastAsia="zh-CN"/>
        </w:rPr>
        <w:t>30</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2.1.2供应商业绩                   6分</w:t>
      </w:r>
    </w:p>
    <w:p>
      <w:pPr>
        <w:spacing w:line="360" w:lineRule="auto"/>
        <w:ind w:firstLine="480" w:firstLineChars="200"/>
        <w:rPr>
          <w:rFonts w:ascii="宋体" w:hAnsi="宋体"/>
          <w:sz w:val="24"/>
          <w:szCs w:val="24"/>
        </w:rPr>
      </w:pPr>
      <w:r>
        <w:rPr>
          <w:rFonts w:hint="eastAsia" w:ascii="宋体" w:hAnsi="宋体"/>
          <w:sz w:val="24"/>
          <w:szCs w:val="24"/>
        </w:rPr>
        <w:t>2.2技术标（</w:t>
      </w:r>
      <w:r>
        <w:rPr>
          <w:rFonts w:hint="eastAsia" w:ascii="宋体" w:hAnsi="宋体"/>
          <w:sz w:val="24"/>
          <w:szCs w:val="24"/>
          <w:lang w:val="en-US" w:eastAsia="zh-CN"/>
        </w:rPr>
        <w:t>64</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 xml:space="preserve">2.2.1投标产品及其技术参数        </w:t>
      </w:r>
      <w:r>
        <w:rPr>
          <w:rFonts w:hint="eastAsia" w:ascii="宋体" w:hAnsi="宋体"/>
          <w:sz w:val="24"/>
          <w:szCs w:val="24"/>
          <w:lang w:val="en-US" w:eastAsia="zh-CN"/>
        </w:rPr>
        <w:t>59</w:t>
      </w:r>
      <w:r>
        <w:rPr>
          <w:rFonts w:hint="eastAsia" w:ascii="宋体" w:hAnsi="宋体"/>
          <w:sz w:val="24"/>
          <w:szCs w:val="24"/>
        </w:rPr>
        <w:t>分</w:t>
      </w:r>
    </w:p>
    <w:p>
      <w:pPr>
        <w:spacing w:line="360" w:lineRule="auto"/>
        <w:ind w:firstLine="480" w:firstLineChars="200"/>
        <w:rPr>
          <w:rFonts w:ascii="宋体" w:hAnsi="宋体"/>
          <w:sz w:val="24"/>
          <w:szCs w:val="24"/>
        </w:rPr>
      </w:pPr>
      <w:r>
        <w:rPr>
          <w:rFonts w:hint="eastAsia" w:ascii="宋体" w:hAnsi="宋体"/>
          <w:sz w:val="24"/>
          <w:szCs w:val="24"/>
        </w:rPr>
        <w:t xml:space="preserve">2.2.2售后服务承诺                </w:t>
      </w:r>
      <w:r>
        <w:rPr>
          <w:rFonts w:hint="eastAsia" w:ascii="宋体" w:hAnsi="宋体"/>
          <w:sz w:val="24"/>
          <w:szCs w:val="24"/>
          <w:lang w:val="en-US" w:eastAsia="zh-CN"/>
        </w:rPr>
        <w:t>5</w:t>
      </w:r>
      <w:r>
        <w:rPr>
          <w:rFonts w:hint="eastAsia" w:ascii="宋体" w:hAnsi="宋体"/>
          <w:sz w:val="24"/>
          <w:szCs w:val="24"/>
        </w:rPr>
        <w:t>分</w:t>
      </w:r>
    </w:p>
    <w:p>
      <w:pPr>
        <w:spacing w:line="360" w:lineRule="auto"/>
        <w:ind w:firstLine="482" w:firstLineChars="200"/>
        <w:rPr>
          <w:rFonts w:ascii="宋体" w:hAnsi="宋体"/>
          <w:b/>
          <w:sz w:val="24"/>
          <w:szCs w:val="24"/>
        </w:rPr>
      </w:pPr>
      <w:r>
        <w:rPr>
          <w:rFonts w:hint="eastAsia" w:ascii="宋体" w:hAnsi="宋体"/>
          <w:b/>
          <w:sz w:val="24"/>
          <w:szCs w:val="24"/>
        </w:rPr>
        <w:t>3.评审内容（数值计算结果均保留两位小数，第三位四舍五入）</w:t>
      </w:r>
    </w:p>
    <w:p>
      <w:pPr>
        <w:spacing w:line="360" w:lineRule="auto"/>
        <w:ind w:firstLine="480" w:firstLineChars="200"/>
        <w:rPr>
          <w:rFonts w:ascii="宋体" w:hAnsi="宋体"/>
          <w:sz w:val="24"/>
          <w:szCs w:val="24"/>
        </w:rPr>
      </w:pPr>
      <w:r>
        <w:rPr>
          <w:rFonts w:hint="eastAsia" w:ascii="宋体" w:hAnsi="宋体"/>
          <w:sz w:val="24"/>
          <w:szCs w:val="24"/>
        </w:rPr>
        <w:t>3.1资格性和符合性审查内容及标准</w:t>
      </w:r>
    </w:p>
    <w:p>
      <w:pPr>
        <w:spacing w:line="360" w:lineRule="auto"/>
        <w:ind w:firstLine="480" w:firstLineChars="200"/>
        <w:rPr>
          <w:rFonts w:ascii="宋体" w:hAnsi="宋体"/>
          <w:sz w:val="24"/>
          <w:szCs w:val="24"/>
        </w:rPr>
      </w:pPr>
      <w:r>
        <w:rPr>
          <w:rFonts w:hint="eastAsia" w:ascii="宋体" w:hAnsi="宋体"/>
          <w:sz w:val="24"/>
          <w:szCs w:val="24"/>
        </w:rPr>
        <w:t>采购人或代理机构对投标文件的资格性响应作合格性审查, 审查结论分为“合格”与“不合格”。审查不合格的投标文件不再进行后续评审。</w:t>
      </w:r>
    </w:p>
    <w:p>
      <w:pPr>
        <w:spacing w:line="360" w:lineRule="auto"/>
        <w:ind w:firstLine="480" w:firstLineChars="200"/>
        <w:rPr>
          <w:rFonts w:ascii="宋体" w:hAnsi="宋体"/>
          <w:sz w:val="24"/>
          <w:szCs w:val="24"/>
        </w:rPr>
      </w:pPr>
      <w:r>
        <w:rPr>
          <w:rFonts w:hint="eastAsia" w:ascii="宋体" w:hAnsi="宋体"/>
          <w:sz w:val="24"/>
          <w:szCs w:val="24"/>
        </w:rPr>
        <w:t>有下列情形之一的，应做无效投标处理：</w:t>
      </w:r>
    </w:p>
    <w:tbl>
      <w:tblPr>
        <w:tblStyle w:val="7"/>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61"/>
        <w:gridCol w:w="3809"/>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770" w:type="dxa"/>
            <w:gridSpan w:val="2"/>
            <w:tcBorders>
              <w:top w:val="outset" w:color="auto" w:sz="6" w:space="0"/>
              <w:left w:val="outset" w:color="auto" w:sz="6" w:space="0"/>
              <w:bottom w:val="outset" w:color="auto" w:sz="6" w:space="0"/>
              <w:right w:val="outset" w:color="auto" w:sz="6" w:space="0"/>
            </w:tcBorders>
            <w:noWrap w:val="0"/>
            <w:vAlign w:val="center"/>
          </w:tcPr>
          <w:p>
            <w:pPr>
              <w:jc w:val="center"/>
            </w:pPr>
            <w:r>
              <w:t>评审内容</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center"/>
            </w:pPr>
            <w: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3" w:hRule="atLeast"/>
        </w:trPr>
        <w:tc>
          <w:tcPr>
            <w:tcW w:w="961" w:type="dxa"/>
            <w:vMerge w:val="restart"/>
            <w:tcBorders>
              <w:top w:val="outset" w:color="auto" w:sz="6" w:space="0"/>
              <w:left w:val="outset" w:color="auto" w:sz="6" w:space="0"/>
              <w:right w:val="outset" w:color="auto" w:sz="6" w:space="0"/>
            </w:tcBorders>
            <w:noWrap w:val="0"/>
            <w:vAlign w:val="center"/>
          </w:tcPr>
          <w:p>
            <w:pPr>
              <w:jc w:val="left"/>
            </w:pPr>
            <w:r>
              <w:t>资格性审查</w:t>
            </w:r>
          </w:p>
        </w:tc>
        <w:tc>
          <w:tcPr>
            <w:tcW w:w="3809" w:type="dxa"/>
            <w:tcBorders>
              <w:top w:val="outset" w:color="auto" w:sz="6" w:space="0"/>
              <w:left w:val="outset" w:color="auto" w:sz="6" w:space="0"/>
              <w:right w:val="outset" w:color="auto" w:sz="6" w:space="0"/>
            </w:tcBorders>
            <w:noWrap w:val="0"/>
            <w:vAlign w:val="center"/>
          </w:tcPr>
          <w:p/>
          <w:p>
            <w:pPr>
              <w:jc w:val="left"/>
            </w:pPr>
            <w:r>
              <w:t>营业执照</w:t>
            </w:r>
          </w:p>
        </w:tc>
        <w:tc>
          <w:tcPr>
            <w:tcW w:w="4771" w:type="dxa"/>
            <w:tcBorders>
              <w:top w:val="outset" w:color="auto" w:sz="6" w:space="0"/>
              <w:left w:val="outset" w:color="auto" w:sz="6" w:space="0"/>
              <w:bottom w:val="outset" w:color="auto" w:sz="6" w:space="0"/>
              <w:right w:val="outset" w:color="auto" w:sz="6" w:space="0"/>
            </w:tcBorders>
            <w:noWrap w:val="0"/>
            <w:vAlign w:val="center"/>
          </w:tcPr>
          <w:p/>
          <w:p>
            <w:pPr>
              <w:tabs>
                <w:tab w:val="center" w:pos="2378"/>
              </w:tabs>
              <w:jc w:val="left"/>
            </w:pPr>
            <w:r>
              <w:t>未提供合法有效营业执照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noWrap w:val="0"/>
            <w:vAlign w:val="center"/>
          </w:tcPr>
          <w:p>
            <w:pPr>
              <w:jc w:val="left"/>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rPr>
              <w:t>资格</w:t>
            </w:r>
            <w:r>
              <w:t>条件</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left"/>
            </w:pPr>
            <w:r>
              <w:t>不符合招标文件要求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noWrap w:val="0"/>
            <w:vAlign w:val="center"/>
          </w:tcPr>
          <w:p>
            <w:pPr>
              <w:jc w:val="left"/>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jc w:val="left"/>
            </w:pPr>
            <w:r>
              <w:t>法定代表人或授权委托人资格</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left"/>
            </w:pPr>
            <w:r>
              <w:t>不符合招标文件要求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noWrap w:val="0"/>
            <w:vAlign w:val="center"/>
          </w:tcPr>
          <w:p>
            <w:pPr>
              <w:jc w:val="left"/>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jc w:val="left"/>
            </w:pPr>
            <w:r>
              <w:t>其他</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left"/>
            </w:pPr>
            <w:r>
              <w:t>供应商被行政监督部门作出禁止投标处罚且在有效期内的，或其他违反法律法规和招标文件规定的情形</w:t>
            </w:r>
          </w:p>
        </w:tc>
      </w:tr>
    </w:tbl>
    <w:p>
      <w:pPr>
        <w:spacing w:line="360" w:lineRule="auto"/>
        <w:ind w:firstLine="480" w:firstLineChars="200"/>
        <w:rPr>
          <w:rFonts w:ascii="宋体" w:hAnsi="宋体"/>
          <w:sz w:val="24"/>
          <w:szCs w:val="24"/>
        </w:rPr>
      </w:pPr>
      <w:r>
        <w:rPr>
          <w:rFonts w:hint="eastAsia" w:ascii="宋体" w:hAnsi="宋体"/>
          <w:sz w:val="24"/>
          <w:szCs w:val="24"/>
        </w:rPr>
        <w:t>评标委员会对投标文件的符合性响应作合格性审查, 审查结论分为“合格”与“不合格”。审查不合格的投标文件不再进行后续评审。</w:t>
      </w:r>
    </w:p>
    <w:p>
      <w:pPr>
        <w:spacing w:line="360" w:lineRule="auto"/>
        <w:ind w:firstLine="480" w:firstLineChars="200"/>
        <w:rPr>
          <w:rFonts w:ascii="宋体" w:hAnsi="宋体"/>
          <w:sz w:val="24"/>
          <w:szCs w:val="24"/>
        </w:rPr>
      </w:pPr>
      <w:r>
        <w:rPr>
          <w:rFonts w:hint="eastAsia" w:ascii="宋体" w:hAnsi="宋体"/>
          <w:sz w:val="24"/>
          <w:szCs w:val="24"/>
        </w:rPr>
        <w:t>有下列情形之一的，评标委员会应做无效投标处理：</w:t>
      </w:r>
    </w:p>
    <w:tbl>
      <w:tblPr>
        <w:tblStyle w:val="7"/>
        <w:tblW w:w="9541"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61"/>
        <w:gridCol w:w="3809"/>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restart"/>
            <w:tcBorders>
              <w:top w:val="outset" w:color="auto" w:sz="6" w:space="0"/>
              <w:left w:val="outset" w:color="auto" w:sz="6" w:space="0"/>
              <w:right w:val="outset" w:color="auto" w:sz="6" w:space="0"/>
            </w:tcBorders>
            <w:noWrap w:val="0"/>
            <w:vAlign w:val="center"/>
          </w:tcPr>
          <w:p>
            <w:pPr>
              <w:jc w:val="left"/>
            </w:pPr>
            <w:r>
              <w:t>符合性审查</w:t>
            </w:r>
          </w:p>
        </w:tc>
        <w:tc>
          <w:tcPr>
            <w:tcW w:w="3809" w:type="dxa"/>
            <w:tcBorders>
              <w:top w:val="outset" w:color="auto" w:sz="6" w:space="0"/>
              <w:left w:val="outset" w:color="auto" w:sz="6" w:space="0"/>
              <w:bottom w:val="outset" w:color="auto" w:sz="6" w:space="0"/>
              <w:right w:val="outset" w:color="auto" w:sz="6" w:space="0"/>
            </w:tcBorders>
            <w:noWrap w:val="0"/>
            <w:vAlign w:val="center"/>
          </w:tcPr>
          <w:p>
            <w:pPr>
              <w:jc w:val="left"/>
            </w:pPr>
            <w:r>
              <w:t>供应商名称</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left"/>
            </w:pPr>
            <w:r>
              <w:t>与营业执照、资质证书等不一致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noWrap w:val="0"/>
            <w:vAlign w:val="center"/>
          </w:tcPr>
          <w:p>
            <w:pPr>
              <w:jc w:val="left"/>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jc w:val="left"/>
            </w:pPr>
            <w:r>
              <w:t>投标文件签署</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left"/>
            </w:pPr>
            <w:r>
              <w:t>未按招标文件要求加盖公章且无法定代表人或授权委托人签字（签章），以致影响整个投标文件效力或正常评审的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noWrap w:val="0"/>
            <w:vAlign w:val="center"/>
          </w:tcPr>
          <w:p>
            <w:pPr>
              <w:jc w:val="left"/>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jc w:val="left"/>
            </w:pPr>
            <w:r>
              <w:t>投标文件格式</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left"/>
            </w:pPr>
            <w:r>
              <w:t>未按规定格式填写，实质性内容不全或关键字迹模糊、无法辨认，以致影响整个投标文件效力或正常评审的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noWrap w:val="0"/>
            <w:vAlign w:val="center"/>
          </w:tcPr>
          <w:p>
            <w:pPr>
              <w:jc w:val="left"/>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jc w:val="left"/>
            </w:pPr>
            <w:r>
              <w:t>投标方案及报价</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left"/>
            </w:pPr>
            <w:r>
              <w:t>报价超过招标文件中规定的预算金额或者最高限价</w:t>
            </w:r>
            <w:r>
              <w:rPr>
                <w:rFonts w:hint="eastAsia"/>
              </w:rPr>
              <w:t>；</w:t>
            </w:r>
            <w:r>
              <w:t>递交两份或多份内容不同的投标文件，或在一份投标文件中对同一招标项目有两个或多个报价，且未声明哪一个有效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noWrap w:val="0"/>
            <w:vAlign w:val="center"/>
          </w:tcPr>
          <w:p>
            <w:pPr>
              <w:jc w:val="left"/>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jc w:val="left"/>
            </w:pPr>
            <w:r>
              <w:t>投标有效期</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left"/>
            </w:pPr>
            <w:r>
              <w:t>不符合招标文件的要求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noWrap w:val="0"/>
            <w:vAlign w:val="center"/>
          </w:tcPr>
          <w:p>
            <w:pPr>
              <w:jc w:val="left"/>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jc w:val="left"/>
            </w:pPr>
            <w:r>
              <w:t>交货时间、地点、质保期或付款方式</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left"/>
            </w:pPr>
            <w:r>
              <w:t>不符合招标文件的要求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noWrap w:val="0"/>
            <w:vAlign w:val="center"/>
          </w:tcPr>
          <w:p>
            <w:pPr>
              <w:jc w:val="left"/>
            </w:pPr>
          </w:p>
        </w:tc>
        <w:tc>
          <w:tcPr>
            <w:tcW w:w="3809" w:type="dxa"/>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rPr>
              <w:t>其他实质性响应</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rPr>
              <w:t>不符合招标文件的要求</w:t>
            </w:r>
          </w:p>
        </w:tc>
      </w:tr>
    </w:tbl>
    <w:p>
      <w:pPr>
        <w:spacing w:line="360" w:lineRule="auto"/>
        <w:ind w:firstLine="480" w:firstLineChars="200"/>
        <w:rPr>
          <w:rFonts w:ascii="宋体" w:hAnsi="宋体"/>
          <w:sz w:val="24"/>
          <w:szCs w:val="24"/>
        </w:rPr>
      </w:pPr>
      <w:r>
        <w:rPr>
          <w:rFonts w:hint="eastAsia" w:ascii="宋体" w:hAnsi="宋体"/>
          <w:sz w:val="24"/>
          <w:szCs w:val="24"/>
        </w:rPr>
        <w:t>3.2商务标评审内容及标准（</w:t>
      </w:r>
      <w:r>
        <w:rPr>
          <w:rFonts w:hint="eastAsia" w:ascii="宋体" w:hAnsi="宋体"/>
          <w:sz w:val="24"/>
          <w:szCs w:val="24"/>
          <w:lang w:val="en-US" w:eastAsia="zh-CN"/>
        </w:rPr>
        <w:t>36</w:t>
      </w:r>
      <w:r>
        <w:rPr>
          <w:rFonts w:hint="eastAsia" w:ascii="宋体" w:hAnsi="宋体"/>
          <w:sz w:val="24"/>
          <w:szCs w:val="24"/>
        </w:rPr>
        <w:t>分）</w:t>
      </w:r>
    </w:p>
    <w:tbl>
      <w:tblPr>
        <w:tblStyle w:val="7"/>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816"/>
        <w:gridCol w:w="954"/>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noWrap w:val="0"/>
            <w:vAlign w:val="center"/>
          </w:tcPr>
          <w:p>
            <w:pPr>
              <w:jc w:val="center"/>
            </w:pPr>
            <w:r>
              <w:t>评审项目</w:t>
            </w:r>
          </w:p>
        </w:tc>
        <w:tc>
          <w:tcPr>
            <w:tcW w:w="954" w:type="dxa"/>
            <w:tcBorders>
              <w:top w:val="outset" w:color="auto" w:sz="6" w:space="0"/>
              <w:left w:val="outset" w:color="auto" w:sz="6" w:space="0"/>
              <w:bottom w:val="outset" w:color="auto" w:sz="6" w:space="0"/>
              <w:right w:val="outset" w:color="auto" w:sz="6" w:space="0"/>
            </w:tcBorders>
            <w:noWrap w:val="0"/>
            <w:vAlign w:val="center"/>
          </w:tcPr>
          <w:p>
            <w:pPr>
              <w:jc w:val="center"/>
            </w:pPr>
            <w:r>
              <w:t>分值</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center"/>
            </w:pPr>
            <w: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noWrap w:val="0"/>
            <w:vAlign w:val="center"/>
          </w:tcPr>
          <w:p>
            <w:pPr>
              <w:jc w:val="left"/>
            </w:pPr>
            <w:r>
              <w:t>投标报价</w:t>
            </w:r>
          </w:p>
        </w:tc>
        <w:tc>
          <w:tcPr>
            <w:tcW w:w="954" w:type="dxa"/>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lang w:val="en-US" w:eastAsia="zh-CN"/>
              </w:rPr>
              <w:t>30</w:t>
            </w:r>
            <w:r>
              <w:t>.00</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pStyle w:val="4"/>
            </w:pPr>
            <w:r>
              <w:t>本项评审步骤：</w:t>
            </w:r>
          </w:p>
          <w:p>
            <w:pPr>
              <w:pStyle w:val="4"/>
            </w:pPr>
            <w:r>
              <w:rPr>
                <w:rFonts w:hint="eastAsia"/>
              </w:rPr>
              <w:t>1.评标价的确认：</w:t>
            </w:r>
            <w:r>
              <w:t>评标委员会对所有实质性响应招标文件要求的投标报价进行核查</w:t>
            </w:r>
            <w:r>
              <w:rPr>
                <w:rFonts w:hint="eastAsia"/>
              </w:rPr>
              <w:t>、调整，包括根据本招标文件规定的政府采购政策进行的价格扣除</w:t>
            </w:r>
            <w:r>
              <w:t>。</w:t>
            </w:r>
          </w:p>
          <w:p>
            <w:pPr>
              <w:pStyle w:val="4"/>
            </w:pPr>
            <w:r>
              <w:rPr>
                <w:rFonts w:hint="eastAsia"/>
              </w:rPr>
              <w:t>1.1价格调整：</w:t>
            </w:r>
            <w:r>
              <w:t>如供应商对招标文件的内容，特别是对招标范围的理解发生误差，有子项漏报的（即该供应商投标报价为漏项报价），经评标委员会评审，按漏项子项和相关标准（有规定标准的按规定标准，无规定标准的按相应的本次招标中最高的单价报价）计算出该供应商的投标调整价；</w:t>
            </w:r>
          </w:p>
          <w:p>
            <w:pPr>
              <w:pStyle w:val="4"/>
            </w:pPr>
            <w:r>
              <w:rPr>
                <w:rFonts w:hint="eastAsia"/>
              </w:rPr>
              <w:t>1.2价格扣除：供应商的投标报价</w:t>
            </w:r>
            <w:r>
              <w:t>（如有漏项报价，则为投标调整价）</w:t>
            </w:r>
            <w:r>
              <w:rPr>
                <w:rFonts w:hint="eastAsia"/>
              </w:rPr>
              <w:t>按招标文件规定的价格扣除办法计算其评标价。</w:t>
            </w:r>
          </w:p>
          <w:p>
            <w:pPr>
              <w:pStyle w:val="4"/>
            </w:pPr>
            <w:r>
              <w:rPr>
                <w:rFonts w:hint="eastAsia"/>
              </w:rPr>
              <w:t>2.评标基准价：评标价</w:t>
            </w:r>
            <w:r>
              <w:t>最低的为评标基准价</w:t>
            </w:r>
            <w:r>
              <w:rPr>
                <w:rFonts w:hint="eastAsia"/>
              </w:rPr>
              <w:t>。</w:t>
            </w:r>
          </w:p>
          <w:p>
            <w:pPr>
              <w:pStyle w:val="4"/>
            </w:pPr>
            <w:r>
              <w:rPr>
                <w:rFonts w:hint="eastAsia"/>
              </w:rPr>
              <w:t>3.投标报价得分计算：评标价为评标基准价的</w:t>
            </w:r>
            <w:r>
              <w:t>得</w:t>
            </w:r>
            <w:r>
              <w:rPr>
                <w:rFonts w:hint="eastAsia"/>
              </w:rPr>
              <w:t>满</w:t>
            </w:r>
            <w:r>
              <w:t>分</w:t>
            </w:r>
            <w:r>
              <w:rPr>
                <w:rFonts w:hint="eastAsia"/>
                <w:lang w:val="en-US" w:eastAsia="zh-CN"/>
              </w:rPr>
              <w:t>30</w:t>
            </w:r>
            <w:r>
              <w:rPr>
                <w:rFonts w:hint="eastAsia"/>
              </w:rPr>
              <w:t>分</w:t>
            </w:r>
            <w:r>
              <w:t>。其他供应商的投标报价得分统一按下列公式计算：投标报价得分=（评标基准价/</w:t>
            </w:r>
            <w:r>
              <w:rPr>
                <w:rFonts w:hint="eastAsia"/>
              </w:rPr>
              <w:t>评标价</w:t>
            </w:r>
            <w:r>
              <w:t>）*</w:t>
            </w:r>
            <w:r>
              <w:rPr>
                <w:rFonts w:hint="eastAsia"/>
                <w:lang w:val="en-US" w:eastAsia="zh-CN"/>
              </w:rPr>
              <w:t>30</w:t>
            </w:r>
            <w:r>
              <w:rPr>
                <w:rFonts w:hint="eastAsia"/>
              </w:rPr>
              <w:t>。</w:t>
            </w:r>
          </w:p>
          <w:p>
            <w:pPr>
              <w:pStyle w:val="4"/>
            </w:pPr>
            <w:r>
              <w:rPr>
                <w:rFonts w:hint="eastAsia"/>
              </w:rPr>
              <w:t>4.</w:t>
            </w:r>
            <w:r>
              <w:t>有漏项报价的供应商，在按上述公式计算出其投标报价得分基础上，其漏项报价每低于投标调整价1%，再扣1分，得出该供应商的投标报价最终得分。若其最终中标，则中标价格为其投标报价，供应商应无异议，否则视该投标为无效投标。</w:t>
            </w:r>
          </w:p>
          <w:p>
            <w:pPr>
              <w:jc w:val="left"/>
            </w:pPr>
            <w:r>
              <w:t>注：</w:t>
            </w:r>
          </w:p>
          <w:p>
            <w:pPr>
              <w:jc w:val="left"/>
            </w:pPr>
            <w:r>
              <w:t>1.</w:t>
            </w:r>
            <w:r>
              <w:rPr>
                <w:rFonts w:hint="eastAsia"/>
              </w:rPr>
              <w:t>评标价</w:t>
            </w:r>
            <w:r>
              <w:t>（含一个或同时多个）低于其他有效供应商的</w:t>
            </w:r>
            <w:r>
              <w:rPr>
                <w:rFonts w:hint="eastAsia"/>
              </w:rPr>
              <w:t>评标价</w:t>
            </w:r>
            <w:r>
              <w:t>平均值50%时，评标委员会应当要求该供应商作出书面说明并提供相关证明材料。该供应商不能合理说明或不能提供相关证明材料的，视作该投标为无效投标。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noWrap w:val="0"/>
            <w:vAlign w:val="center"/>
          </w:tcPr>
          <w:p>
            <w:pPr>
              <w:jc w:val="left"/>
            </w:pPr>
            <w:r>
              <w:t>供应商业绩</w:t>
            </w:r>
          </w:p>
        </w:tc>
        <w:tc>
          <w:tcPr>
            <w:tcW w:w="954" w:type="dxa"/>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rPr>
              <w:t>6</w:t>
            </w:r>
            <w:r>
              <w:t>.00</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rPr>
              <w:t>业绩合同</w:t>
            </w:r>
            <w:r>
              <w:t>签订时间应自开标之日起上推</w:t>
            </w:r>
            <w:r>
              <w:rPr>
                <w:rFonts w:hint="eastAsia"/>
              </w:rPr>
              <w:t>3</w:t>
            </w:r>
            <w:r>
              <w:t>年内，</w:t>
            </w:r>
            <w:r>
              <w:rPr>
                <w:rFonts w:hint="eastAsia"/>
              </w:rPr>
              <w:t>签订</w:t>
            </w:r>
            <w:r>
              <w:t>同类</w:t>
            </w:r>
            <w:r>
              <w:rPr>
                <w:rFonts w:hint="eastAsia"/>
              </w:rPr>
              <w:t>产品</w:t>
            </w:r>
            <w:r>
              <w:rPr>
                <w:rFonts w:hint="eastAsia"/>
                <w:b/>
              </w:rPr>
              <w:t>（二氧化碳培养箱或荧光显微镜或PCR仪或细胞核转仪）</w:t>
            </w:r>
            <w:r>
              <w:rPr>
                <w:rFonts w:hint="eastAsia"/>
              </w:rPr>
              <w:t>供货合同</w:t>
            </w:r>
            <w:r>
              <w:t>的，有一项加</w:t>
            </w:r>
            <w:r>
              <w:rPr>
                <w:rFonts w:hint="eastAsia"/>
              </w:rPr>
              <w:t>2</w:t>
            </w:r>
            <w:r>
              <w:t>分，加满</w:t>
            </w:r>
            <w:r>
              <w:rPr>
                <w:rFonts w:hint="eastAsia"/>
              </w:rPr>
              <w:t>6</w:t>
            </w:r>
            <w:r>
              <w:t>分为止。（</w:t>
            </w:r>
            <w:r>
              <w:rPr>
                <w:rFonts w:hint="eastAsia"/>
              </w:rPr>
              <w:t>投标文件中须提供业绩合同，签订时间</w:t>
            </w:r>
            <w:r>
              <w:t>以</w:t>
            </w:r>
            <w:r>
              <w:rPr>
                <w:rFonts w:hint="eastAsia"/>
              </w:rPr>
              <w:t>业绩</w:t>
            </w:r>
            <w:r>
              <w:t>合同为准，复印件</w:t>
            </w:r>
            <w:r>
              <w:rPr>
                <w:rFonts w:hint="eastAsia"/>
              </w:rPr>
              <w:t>或扫描件</w:t>
            </w:r>
            <w:r>
              <w:t>应能辨识买卖双方公章、签订时间</w:t>
            </w:r>
            <w:r>
              <w:rPr>
                <w:rFonts w:hint="eastAsia"/>
              </w:rPr>
              <w:t>，并加盖供应商公章</w:t>
            </w:r>
            <w:r>
              <w:t>；</w:t>
            </w:r>
            <w:r>
              <w:rPr>
                <w:rFonts w:hint="eastAsia"/>
              </w:rPr>
              <w:t>如业绩合同不能体现以上全部内容，可提供业绩合同甲方加盖公章的证明复印件或扫描件。</w:t>
            </w:r>
            <w:r>
              <w:t>否则，不得分）</w:t>
            </w:r>
          </w:p>
          <w:p>
            <w:pPr>
              <w:jc w:val="left"/>
            </w:pPr>
          </w:p>
        </w:tc>
      </w:tr>
    </w:tbl>
    <w:p>
      <w:pPr>
        <w:spacing w:line="360" w:lineRule="auto"/>
        <w:ind w:firstLine="480" w:firstLineChars="200"/>
        <w:rPr>
          <w:rFonts w:ascii="宋体" w:hAnsi="宋体"/>
          <w:sz w:val="24"/>
          <w:szCs w:val="24"/>
        </w:rPr>
      </w:pPr>
      <w:r>
        <w:rPr>
          <w:rFonts w:hint="eastAsia" w:ascii="宋体" w:hAnsi="宋体"/>
          <w:sz w:val="24"/>
          <w:szCs w:val="24"/>
        </w:rPr>
        <w:t>3.3技术标评审内容及标准（</w:t>
      </w:r>
      <w:r>
        <w:rPr>
          <w:rFonts w:hint="eastAsia" w:ascii="宋体" w:hAnsi="宋体"/>
          <w:sz w:val="24"/>
          <w:szCs w:val="24"/>
          <w:lang w:val="en-US" w:eastAsia="zh-CN"/>
        </w:rPr>
        <w:t>64</w:t>
      </w:r>
      <w:r>
        <w:rPr>
          <w:rFonts w:hint="eastAsia" w:ascii="宋体" w:hAnsi="宋体"/>
          <w:sz w:val="24"/>
          <w:szCs w:val="24"/>
        </w:rPr>
        <w:t>分）</w:t>
      </w:r>
    </w:p>
    <w:tbl>
      <w:tblPr>
        <w:tblStyle w:val="7"/>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2423"/>
        <w:gridCol w:w="1382"/>
        <w:gridCol w:w="949"/>
        <w:gridCol w:w="4766"/>
        <w:gridCol w:w="3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05" w:type="dxa"/>
            <w:gridSpan w:val="2"/>
            <w:tcBorders>
              <w:top w:val="outset" w:color="auto" w:sz="6" w:space="0"/>
              <w:left w:val="outset" w:color="auto" w:sz="6" w:space="0"/>
              <w:bottom w:val="outset" w:color="auto" w:sz="6" w:space="0"/>
              <w:right w:val="outset" w:color="auto" w:sz="6" w:space="0"/>
            </w:tcBorders>
            <w:noWrap w:val="0"/>
            <w:vAlign w:val="center"/>
          </w:tcPr>
          <w:p>
            <w:pPr>
              <w:jc w:val="center"/>
            </w:pPr>
            <w:r>
              <w:t>评审项目</w:t>
            </w:r>
          </w:p>
        </w:tc>
        <w:tc>
          <w:tcPr>
            <w:tcW w:w="949" w:type="dxa"/>
            <w:tcBorders>
              <w:top w:val="outset" w:color="auto" w:sz="6" w:space="0"/>
              <w:left w:val="outset" w:color="auto" w:sz="6" w:space="0"/>
              <w:bottom w:val="outset" w:color="auto" w:sz="6" w:space="0"/>
              <w:right w:val="outset" w:color="auto" w:sz="6" w:space="0"/>
            </w:tcBorders>
            <w:noWrap w:val="0"/>
            <w:vAlign w:val="center"/>
          </w:tcPr>
          <w:p>
            <w:pPr>
              <w:jc w:val="center"/>
            </w:pPr>
            <w:r>
              <w:t>分值</w:t>
            </w:r>
          </w:p>
        </w:tc>
        <w:tc>
          <w:tcPr>
            <w:tcW w:w="4766" w:type="dxa"/>
            <w:tcBorders>
              <w:top w:val="outset" w:color="auto" w:sz="6" w:space="0"/>
              <w:left w:val="outset" w:color="auto" w:sz="6" w:space="0"/>
              <w:bottom w:val="outset" w:color="auto" w:sz="6" w:space="0"/>
              <w:right w:val="outset" w:color="auto" w:sz="6" w:space="0"/>
            </w:tcBorders>
            <w:noWrap w:val="0"/>
            <w:vAlign w:val="center"/>
          </w:tcPr>
          <w:p>
            <w:pPr>
              <w:jc w:val="center"/>
            </w:pPr>
            <w:r>
              <w:t>依据</w:t>
            </w:r>
          </w:p>
        </w:tc>
        <w:tc>
          <w:tcPr>
            <w:tcW w:w="21" w:type="dxa"/>
            <w:tcBorders>
              <w:top w:val="outset" w:color="auto" w:sz="6" w:space="0"/>
              <w:left w:val="outset" w:color="auto" w:sz="6" w:space="0"/>
              <w:bottom w:val="outset" w:color="auto" w:sz="6" w:space="0"/>
              <w:right w:val="outset" w:color="auto" w:sz="6" w:space="0"/>
            </w:tcBorders>
            <w:noWrap w:val="0"/>
            <w:vAlign w:val="center"/>
          </w:tcPr>
          <w:p>
            <w:pPr>
              <w:jc w:val="cente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restart"/>
            <w:tcBorders>
              <w:top w:val="outset" w:color="auto" w:sz="6" w:space="0"/>
              <w:left w:val="outset" w:color="auto" w:sz="6" w:space="0"/>
              <w:bottom w:val="outset" w:color="auto" w:sz="6" w:space="0"/>
              <w:right w:val="outset" w:color="auto" w:sz="6" w:space="0"/>
            </w:tcBorders>
            <w:noWrap w:val="0"/>
            <w:vAlign w:val="center"/>
          </w:tcPr>
          <w:p>
            <w:pPr>
              <w:jc w:val="left"/>
            </w:pPr>
            <w:r>
              <w:t>投标产品及其技术参数（满分</w:t>
            </w:r>
            <w:r>
              <w:rPr>
                <w:rFonts w:hint="eastAsia"/>
                <w:lang w:val="en-US" w:eastAsia="zh-CN"/>
              </w:rPr>
              <w:t>59</w:t>
            </w:r>
            <w:r>
              <w:t>分）</w:t>
            </w:r>
          </w:p>
          <w:p>
            <w:pPr>
              <w:jc w:val="left"/>
            </w:pPr>
          </w:p>
        </w:tc>
        <w:tc>
          <w:tcPr>
            <w:tcW w:w="1382" w:type="dxa"/>
            <w:tcBorders>
              <w:top w:val="outset" w:color="auto" w:sz="6" w:space="0"/>
              <w:left w:val="outset" w:color="auto" w:sz="6" w:space="0"/>
              <w:bottom w:val="outset" w:color="auto" w:sz="6" w:space="0"/>
              <w:right w:val="outset" w:color="auto" w:sz="6" w:space="0"/>
            </w:tcBorders>
            <w:noWrap w:val="0"/>
            <w:vAlign w:val="center"/>
          </w:tcPr>
          <w:p>
            <w:pPr>
              <w:jc w:val="left"/>
            </w:pPr>
            <w:r>
              <w:t>投标产品对招标文件的响应程度</w:t>
            </w:r>
          </w:p>
        </w:tc>
        <w:tc>
          <w:tcPr>
            <w:tcW w:w="5736" w:type="dxa"/>
            <w:gridSpan w:val="3"/>
            <w:tcBorders>
              <w:top w:val="outset" w:color="auto" w:sz="6" w:space="0"/>
              <w:left w:val="outset" w:color="auto" w:sz="6" w:space="0"/>
              <w:bottom w:val="outset" w:color="auto" w:sz="6" w:space="0"/>
              <w:right w:val="outset" w:color="auto" w:sz="6" w:space="0"/>
            </w:tcBorders>
            <w:noWrap w:val="0"/>
            <w:vAlign w:val="center"/>
          </w:tcPr>
          <w:tbl>
            <w:tblPr>
              <w:tblStyle w:val="7"/>
              <w:tblW w:w="0" w:type="auto"/>
              <w:tblInd w:w="0" w:type="dxa"/>
              <w:tblLayout w:type="fixed"/>
              <w:tblCellMar>
                <w:top w:w="0" w:type="dxa"/>
                <w:left w:w="0" w:type="dxa"/>
                <w:bottom w:w="0" w:type="dxa"/>
                <w:right w:w="0" w:type="dxa"/>
              </w:tblCellMar>
            </w:tblPr>
            <w:tblGrid>
              <w:gridCol w:w="945"/>
              <w:gridCol w:w="4768"/>
            </w:tblGrid>
            <w:tr>
              <w:tblPrEx>
                <w:tblCellMar>
                  <w:top w:w="0" w:type="dxa"/>
                  <w:left w:w="0" w:type="dxa"/>
                  <w:bottom w:w="0" w:type="dxa"/>
                  <w:right w:w="0" w:type="dxa"/>
                </w:tblCellMar>
              </w:tblPrEx>
              <w:tc>
                <w:tcPr>
                  <w:tcW w:w="945" w:type="dxa"/>
                  <w:tcBorders>
                    <w:top w:val="nil"/>
                    <w:left w:val="nil"/>
                    <w:bottom w:val="nil"/>
                    <w:right w:val="single" w:color="000000" w:sz="6" w:space="0"/>
                  </w:tcBorders>
                  <w:noWrap w:val="0"/>
                  <w:vAlign w:val="center"/>
                </w:tcPr>
                <w:p>
                  <w:pPr>
                    <w:rPr>
                      <w:rFonts w:hint="default" w:eastAsia="宋体"/>
                      <w:lang w:val="en-US" w:eastAsia="zh-CN"/>
                    </w:rPr>
                  </w:pPr>
                  <w:r>
                    <w:rPr>
                      <w:rFonts w:hint="eastAsia"/>
                      <w:lang w:val="en-US" w:eastAsia="zh-CN"/>
                    </w:rPr>
                    <w:t>45.00</w:t>
                  </w:r>
                </w:p>
              </w:tc>
              <w:tc>
                <w:tcPr>
                  <w:tcW w:w="4768" w:type="dxa"/>
                  <w:tcBorders>
                    <w:top w:val="nil"/>
                    <w:left w:val="nil"/>
                    <w:bottom w:val="nil"/>
                    <w:right w:val="single" w:color="000000" w:sz="6" w:space="0"/>
                  </w:tcBorders>
                  <w:noWrap w:val="0"/>
                  <w:vAlign w:val="center"/>
                </w:tcPr>
                <w:p>
                  <w:pPr>
                    <w:rPr>
                      <w:rFonts w:hint="eastAsia"/>
                    </w:rPr>
                  </w:pPr>
                  <w:r>
                    <w:rPr>
                      <w:rFonts w:hint="eastAsia"/>
                    </w:rPr>
                    <w:t>评标专家根据投标人所提供的设备技术参数进行评审，标有“◆”的参数负偏离的每项扣5分；</w:t>
                  </w:r>
                  <w:r>
                    <w:rPr>
                      <w:rFonts w:hint="eastAsia"/>
                      <w:lang w:val="en-US" w:eastAsia="zh-CN"/>
                    </w:rPr>
                    <w:t>未</w:t>
                  </w:r>
                  <w:r>
                    <w:rPr>
                      <w:rFonts w:hint="eastAsia"/>
                    </w:rPr>
                    <w:t>标有“◆”的参数负偏离每项扣1分，扣完为止。</w:t>
                  </w:r>
                </w:p>
                <w:p>
                  <w:r>
                    <w:rPr>
                      <w:rFonts w:hint="eastAsia"/>
                      <w:lang w:val="en-US" w:eastAsia="zh-CN"/>
                    </w:rPr>
                    <w:t>所有</w:t>
                  </w:r>
                  <w:r>
                    <w:rPr>
                      <w:rFonts w:hint="eastAsia"/>
                    </w:rPr>
                    <w:t>标有“◆”的参数投标文件中须提供技术支持资料</w:t>
                  </w:r>
                  <w:r>
                    <w:rPr>
                      <w:rFonts w:hint="eastAsia"/>
                      <w:lang w:val="en-US" w:eastAsia="zh-CN"/>
                    </w:rPr>
                    <w:t>并标注页码</w:t>
                  </w:r>
                  <w:r>
                    <w:rPr>
                      <w:rFonts w:hint="eastAsia"/>
                    </w:rPr>
                    <w:t>（技术支持资料以制造商公开发布的资料或检测机构出具的检测报告或招标文件明确要求的材料为准。若制造商公开发布的资料与检测机构出具的检测报告不一致</w:t>
                  </w:r>
                  <w:bookmarkStart w:id="0" w:name="_GoBack"/>
                  <w:bookmarkEnd w:id="0"/>
                  <w:r>
                    <w:rPr>
                      <w:rFonts w:hint="eastAsia"/>
                    </w:rPr>
                    <w:t>，以检测机构出具的检测报告为准。若为外文证明材料，须同时提供中文翻译说明），否则不予认可。</w:t>
                  </w:r>
                </w:p>
              </w:tc>
            </w:tr>
          </w:tbl>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noWrap w:val="0"/>
            <w:vAlign w:val="center"/>
          </w:tcPr>
          <w:p/>
        </w:tc>
        <w:tc>
          <w:tcPr>
            <w:tcW w:w="1382" w:type="dxa"/>
            <w:tcBorders>
              <w:top w:val="outset" w:color="auto" w:sz="6" w:space="0"/>
              <w:left w:val="outset" w:color="auto" w:sz="6" w:space="0"/>
              <w:bottom w:val="outset" w:color="auto" w:sz="6" w:space="0"/>
              <w:right w:val="outset" w:color="auto" w:sz="6" w:space="0"/>
            </w:tcBorders>
            <w:noWrap w:val="0"/>
            <w:vAlign w:val="center"/>
          </w:tcPr>
          <w:p>
            <w:r>
              <w:t>投标产品节能、环保性能</w:t>
            </w:r>
          </w:p>
        </w:tc>
        <w:tc>
          <w:tcPr>
            <w:tcW w:w="949" w:type="dxa"/>
            <w:tcBorders>
              <w:top w:val="outset" w:color="auto" w:sz="6" w:space="0"/>
              <w:left w:val="outset" w:color="auto" w:sz="6" w:space="0"/>
              <w:bottom w:val="outset" w:color="auto" w:sz="6" w:space="0"/>
              <w:right w:val="outset" w:color="auto" w:sz="6" w:space="0"/>
            </w:tcBorders>
            <w:noWrap w:val="0"/>
            <w:vAlign w:val="center"/>
          </w:tcPr>
          <w:p>
            <w:r>
              <w:rPr>
                <w:rFonts w:hint="eastAsia"/>
                <w:lang w:val="en-US" w:eastAsia="zh-CN"/>
              </w:rPr>
              <w:t>4</w:t>
            </w:r>
            <w:r>
              <w:t>.00</w:t>
            </w:r>
          </w:p>
        </w:tc>
        <w:tc>
          <w:tcPr>
            <w:tcW w:w="4766" w:type="dxa"/>
            <w:tcBorders>
              <w:top w:val="outset" w:color="auto" w:sz="6" w:space="0"/>
              <w:left w:val="outset" w:color="auto" w:sz="6" w:space="0"/>
              <w:bottom w:val="outset" w:color="auto" w:sz="6" w:space="0"/>
              <w:right w:val="outset" w:color="auto" w:sz="6" w:space="0"/>
            </w:tcBorders>
            <w:noWrap w:val="0"/>
            <w:vAlign w:val="center"/>
          </w:tcPr>
          <w:p>
            <w:pPr>
              <w:jc w:val="left"/>
            </w:pPr>
            <w:r>
              <w:rPr>
                <w:rFonts w:hint="eastAsia"/>
              </w:rPr>
              <w:t>1.</w:t>
            </w:r>
            <w:r>
              <w:t>提供投标产品的国家认定的节能产品认证材料。评标委员会对所有有效供应商提供的材料进行</w:t>
            </w:r>
            <w:r>
              <w:rPr>
                <w:rFonts w:hint="eastAsia"/>
                <w:lang w:eastAsia="zh-CN"/>
              </w:rPr>
              <w:t>评比</w:t>
            </w:r>
            <w:r>
              <w:t>。提供节能产品品种数量最多的</w:t>
            </w:r>
            <w:r>
              <w:rPr>
                <w:rFonts w:hint="eastAsia"/>
              </w:rPr>
              <w:t>，</w:t>
            </w:r>
            <w:r>
              <w:t>得</w:t>
            </w:r>
            <w:r>
              <w:rPr>
                <w:rFonts w:hint="eastAsia"/>
                <w:lang w:val="en-US" w:eastAsia="zh-CN"/>
              </w:rPr>
              <w:t>2</w:t>
            </w:r>
            <w:r>
              <w:rPr>
                <w:rFonts w:hint="eastAsia"/>
              </w:rPr>
              <w:t>分；</w:t>
            </w:r>
            <w:r>
              <w:t>提供节能产品品种数量最</w:t>
            </w:r>
            <w:r>
              <w:rPr>
                <w:rFonts w:hint="eastAsia"/>
              </w:rPr>
              <w:t>少</w:t>
            </w:r>
            <w:r>
              <w:t>的</w:t>
            </w:r>
            <w:r>
              <w:rPr>
                <w:rFonts w:hint="eastAsia"/>
              </w:rPr>
              <w:t>，</w:t>
            </w:r>
            <w:r>
              <w:t>得</w:t>
            </w:r>
            <w:r>
              <w:rPr>
                <w:rFonts w:hint="eastAsia"/>
              </w:rPr>
              <w:t>0分；范围内采用线性插值法计算得分，计算结果保留两位小数。</w:t>
            </w:r>
            <w:r>
              <w:t xml:space="preserve"> </w:t>
            </w:r>
          </w:p>
          <w:p>
            <w:r>
              <w:rPr>
                <w:rFonts w:hint="eastAsia"/>
              </w:rPr>
              <w:t>2.</w:t>
            </w:r>
            <w:r>
              <w:t>提供投标产品的国家认定的环保产品认证材料。评标委员会对所有有效供应商提供的材料进行</w:t>
            </w:r>
            <w:r>
              <w:rPr>
                <w:rFonts w:hint="eastAsia"/>
                <w:lang w:eastAsia="zh-CN"/>
              </w:rPr>
              <w:t>评比</w:t>
            </w:r>
            <w:r>
              <w:t>。提供</w:t>
            </w:r>
            <w:r>
              <w:rPr>
                <w:rFonts w:hint="eastAsia"/>
              </w:rPr>
              <w:t>环保</w:t>
            </w:r>
            <w:r>
              <w:t>产品品种数量最多的</w:t>
            </w:r>
            <w:r>
              <w:rPr>
                <w:rFonts w:hint="eastAsia"/>
              </w:rPr>
              <w:t>，</w:t>
            </w:r>
            <w:r>
              <w:t>得</w:t>
            </w:r>
            <w:r>
              <w:rPr>
                <w:rFonts w:hint="eastAsia"/>
                <w:lang w:val="en-US" w:eastAsia="zh-CN"/>
              </w:rPr>
              <w:t>2</w:t>
            </w:r>
            <w:r>
              <w:rPr>
                <w:rFonts w:hint="eastAsia"/>
              </w:rPr>
              <w:t>分；</w:t>
            </w:r>
            <w:r>
              <w:t>提供</w:t>
            </w:r>
            <w:r>
              <w:rPr>
                <w:rFonts w:hint="eastAsia"/>
              </w:rPr>
              <w:t>环保</w:t>
            </w:r>
            <w:r>
              <w:t>产品品种数量最</w:t>
            </w:r>
            <w:r>
              <w:rPr>
                <w:rFonts w:hint="eastAsia"/>
              </w:rPr>
              <w:t>少</w:t>
            </w:r>
            <w:r>
              <w:t>的</w:t>
            </w:r>
            <w:r>
              <w:rPr>
                <w:rFonts w:hint="eastAsia"/>
              </w:rPr>
              <w:t>，</w:t>
            </w:r>
            <w:r>
              <w:t>得</w:t>
            </w:r>
            <w:r>
              <w:rPr>
                <w:rFonts w:hint="eastAsia"/>
              </w:rPr>
              <w:t>0分；范围内采用线性插值法计算得分，计算结果保留两位小数。</w:t>
            </w:r>
          </w:p>
          <w:p/>
          <w:p>
            <w:r>
              <w:t>注：节能、环保产品必须纳入</w:t>
            </w:r>
            <w:r>
              <w:rPr>
                <w:rFonts w:hint="eastAsia"/>
              </w:rPr>
              <w:t>“</w:t>
            </w:r>
            <w:r>
              <w:t>中国政府采购网http://www.ccgp.gov.cn</w:t>
            </w:r>
            <w:r>
              <w:rPr>
                <w:rFonts w:hint="eastAsia"/>
              </w:rPr>
              <w:t>”</w:t>
            </w:r>
            <w:r>
              <w:t>中</w:t>
            </w:r>
            <w:r>
              <w:rPr>
                <w:rFonts w:hint="eastAsia"/>
              </w:rPr>
              <w:t>相应品目</w:t>
            </w:r>
            <w:r>
              <w:t>清单内，须</w:t>
            </w:r>
            <w:r>
              <w:rPr>
                <w:rFonts w:hint="eastAsia"/>
              </w:rPr>
              <w:t>提供国家确定的认证机构出具的、处于有效期之内的节能产品、环境标志产品认证证书。</w:t>
            </w:r>
            <w:r>
              <w:t>将上述材料打印放入投标文件中并加盖供应商公章；否则，不得分。</w:t>
            </w:r>
          </w:p>
        </w:tc>
        <w:tc>
          <w:tcPr>
            <w:tcW w:w="21" w:type="dxa"/>
            <w:tcBorders>
              <w:top w:val="outset" w:color="auto" w:sz="6" w:space="0"/>
              <w:left w:val="outset" w:color="auto" w:sz="6" w:space="0"/>
              <w:bottom w:val="outset" w:color="auto" w:sz="6" w:space="0"/>
              <w:right w:val="outset" w:color="auto" w:sz="6" w:space="0"/>
            </w:tcBorders>
            <w:noWrap w:val="0"/>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noWrap w:val="0"/>
            <w:vAlign w:val="center"/>
          </w:tcPr>
          <w:p/>
        </w:tc>
        <w:tc>
          <w:tcPr>
            <w:tcW w:w="1382" w:type="dxa"/>
            <w:tcBorders>
              <w:top w:val="outset" w:color="auto" w:sz="6" w:space="0"/>
              <w:left w:val="outset" w:color="auto" w:sz="6" w:space="0"/>
              <w:bottom w:val="outset" w:color="auto" w:sz="6" w:space="0"/>
              <w:right w:val="outset" w:color="auto" w:sz="6" w:space="0"/>
            </w:tcBorders>
            <w:noWrap w:val="0"/>
            <w:vAlign w:val="center"/>
          </w:tcPr>
          <w:p>
            <w:r>
              <w:t>投标产品质量标准</w:t>
            </w:r>
          </w:p>
        </w:tc>
        <w:tc>
          <w:tcPr>
            <w:tcW w:w="949" w:type="dxa"/>
            <w:tcBorders>
              <w:top w:val="outset" w:color="auto" w:sz="6" w:space="0"/>
              <w:left w:val="outset" w:color="auto" w:sz="6" w:space="0"/>
              <w:bottom w:val="outset" w:color="auto" w:sz="6" w:space="0"/>
              <w:right w:val="outset" w:color="auto" w:sz="6" w:space="0"/>
            </w:tcBorders>
            <w:noWrap w:val="0"/>
            <w:vAlign w:val="center"/>
          </w:tcPr>
          <w:p>
            <w:r>
              <w:rPr>
                <w:rFonts w:hint="eastAsia"/>
                <w:lang w:val="en-US" w:eastAsia="zh-CN"/>
              </w:rPr>
              <w:t>2</w:t>
            </w:r>
            <w:r>
              <w:t>.00</w:t>
            </w:r>
          </w:p>
        </w:tc>
        <w:tc>
          <w:tcPr>
            <w:tcW w:w="4766"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评标委员会根据投标产品质量标准进行评比：</w:t>
            </w:r>
          </w:p>
          <w:p>
            <w:r>
              <w:rPr>
                <w:rFonts w:hint="eastAsia"/>
              </w:rPr>
              <w:t>质量标准高、性能稳定、使用和维修便利性高得</w:t>
            </w:r>
            <w:r>
              <w:rPr>
                <w:rFonts w:hint="eastAsia"/>
                <w:lang w:val="en-US" w:eastAsia="zh-CN"/>
              </w:rPr>
              <w:t>2</w:t>
            </w:r>
            <w:r>
              <w:rPr>
                <w:rFonts w:hint="eastAsia"/>
              </w:rPr>
              <w:t>分；质量标准较高、性能较为稳定、使用和维修便利性较高得</w:t>
            </w:r>
            <w:r>
              <w:rPr>
                <w:rFonts w:hint="eastAsia"/>
                <w:lang w:val="en-US" w:eastAsia="zh-CN"/>
              </w:rPr>
              <w:t>1</w:t>
            </w:r>
            <w:r>
              <w:rPr>
                <w:rFonts w:hint="eastAsia"/>
              </w:rPr>
              <w:t>分；基本符合质量标准、使用和维修的便利性有待提高得</w:t>
            </w:r>
            <w:r>
              <w:rPr>
                <w:rFonts w:hint="eastAsia"/>
                <w:lang w:val="en-US" w:eastAsia="zh-CN"/>
              </w:rPr>
              <w:t>0.5</w:t>
            </w:r>
            <w:r>
              <w:rPr>
                <w:rFonts w:hint="eastAsia"/>
              </w:rPr>
              <w:t>分。</w:t>
            </w:r>
          </w:p>
        </w:tc>
        <w:tc>
          <w:tcPr>
            <w:tcW w:w="21" w:type="dxa"/>
            <w:tcBorders>
              <w:top w:val="outset" w:color="auto" w:sz="6" w:space="0"/>
              <w:left w:val="outset" w:color="auto" w:sz="6" w:space="0"/>
              <w:bottom w:val="outset" w:color="auto" w:sz="6" w:space="0"/>
              <w:right w:val="outset" w:color="auto" w:sz="6" w:space="0"/>
            </w:tcBorders>
            <w:noWrap w:val="0"/>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noWrap w:val="0"/>
            <w:vAlign w:val="center"/>
          </w:tcPr>
          <w:p/>
        </w:tc>
        <w:tc>
          <w:tcPr>
            <w:tcW w:w="1382" w:type="dxa"/>
            <w:tcBorders>
              <w:top w:val="outset" w:color="auto" w:sz="6" w:space="0"/>
              <w:left w:val="outset" w:color="auto" w:sz="6" w:space="0"/>
              <w:bottom w:val="outset" w:color="auto" w:sz="6" w:space="0"/>
              <w:right w:val="outset" w:color="auto" w:sz="6" w:space="0"/>
            </w:tcBorders>
            <w:noWrap w:val="0"/>
            <w:vAlign w:val="center"/>
          </w:tcPr>
          <w:p>
            <w:r>
              <w:t>投标产品使用</w:t>
            </w:r>
            <w:r>
              <w:rPr>
                <w:rFonts w:hint="eastAsia"/>
              </w:rPr>
              <w:t>寿命及使用</w:t>
            </w:r>
            <w:r>
              <w:t>成本</w:t>
            </w:r>
          </w:p>
        </w:tc>
        <w:tc>
          <w:tcPr>
            <w:tcW w:w="949" w:type="dxa"/>
            <w:tcBorders>
              <w:top w:val="outset" w:color="auto" w:sz="6" w:space="0"/>
              <w:left w:val="outset" w:color="auto" w:sz="6" w:space="0"/>
              <w:bottom w:val="outset" w:color="auto" w:sz="6" w:space="0"/>
              <w:right w:val="outset" w:color="auto" w:sz="6" w:space="0"/>
            </w:tcBorders>
            <w:noWrap w:val="0"/>
            <w:vAlign w:val="center"/>
          </w:tcPr>
          <w:p>
            <w:r>
              <w:rPr>
                <w:rFonts w:hint="eastAsia"/>
                <w:lang w:val="en-US" w:eastAsia="zh-CN"/>
              </w:rPr>
              <w:t>2</w:t>
            </w:r>
            <w:r>
              <w:t>.00</w:t>
            </w:r>
          </w:p>
        </w:tc>
        <w:tc>
          <w:tcPr>
            <w:tcW w:w="4766"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评标委员会根据投标产品寿命及使用成本进行评比：</w:t>
            </w:r>
          </w:p>
          <w:p>
            <w:r>
              <w:rPr>
                <w:rFonts w:hint="eastAsia"/>
              </w:rPr>
              <w:t>产品使用寿命长，使用及维护保养综合成本低得</w:t>
            </w:r>
            <w:r>
              <w:rPr>
                <w:rFonts w:hint="eastAsia"/>
                <w:lang w:val="en-US" w:eastAsia="zh-CN"/>
              </w:rPr>
              <w:t>2</w:t>
            </w:r>
            <w:r>
              <w:rPr>
                <w:rFonts w:hint="eastAsia"/>
              </w:rPr>
              <w:t>分；产品使用寿命长，使用及维护保养综合成本较低得</w:t>
            </w:r>
            <w:r>
              <w:rPr>
                <w:rFonts w:hint="eastAsia"/>
                <w:lang w:val="en-US" w:eastAsia="zh-CN"/>
              </w:rPr>
              <w:t>1</w:t>
            </w:r>
            <w:r>
              <w:rPr>
                <w:rFonts w:hint="eastAsia"/>
              </w:rPr>
              <w:t>分；能基本保障产品使用寿命，使用及维护保养综合成本较高得</w:t>
            </w:r>
            <w:r>
              <w:rPr>
                <w:rFonts w:hint="eastAsia"/>
                <w:lang w:val="en-US" w:eastAsia="zh-CN"/>
              </w:rPr>
              <w:t>0.5</w:t>
            </w:r>
            <w:r>
              <w:rPr>
                <w:rFonts w:hint="eastAsia"/>
              </w:rPr>
              <w:t>分。</w:t>
            </w:r>
          </w:p>
        </w:tc>
        <w:tc>
          <w:tcPr>
            <w:tcW w:w="21" w:type="dxa"/>
            <w:tcBorders>
              <w:top w:val="outset" w:color="auto" w:sz="6" w:space="0"/>
              <w:left w:val="outset" w:color="auto" w:sz="6" w:space="0"/>
              <w:bottom w:val="outset" w:color="auto" w:sz="6" w:space="0"/>
              <w:right w:val="outset" w:color="auto" w:sz="6" w:space="0"/>
            </w:tcBorders>
            <w:noWrap w:val="0"/>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noWrap w:val="0"/>
            <w:vAlign w:val="center"/>
          </w:tcPr>
          <w:p/>
        </w:tc>
        <w:tc>
          <w:tcPr>
            <w:tcW w:w="1382" w:type="dxa"/>
            <w:tcBorders>
              <w:top w:val="outset" w:color="auto" w:sz="6" w:space="0"/>
              <w:left w:val="outset" w:color="auto" w:sz="6" w:space="0"/>
              <w:bottom w:val="outset" w:color="auto" w:sz="6" w:space="0"/>
              <w:right w:val="outset" w:color="auto" w:sz="6" w:space="0"/>
            </w:tcBorders>
            <w:noWrap w:val="0"/>
            <w:vAlign w:val="center"/>
          </w:tcPr>
          <w:p>
            <w:r>
              <w:t>零配件</w:t>
            </w:r>
          </w:p>
        </w:tc>
        <w:tc>
          <w:tcPr>
            <w:tcW w:w="949" w:type="dxa"/>
            <w:tcBorders>
              <w:top w:val="outset" w:color="auto" w:sz="6" w:space="0"/>
              <w:left w:val="outset" w:color="auto" w:sz="6" w:space="0"/>
              <w:bottom w:val="outset" w:color="auto" w:sz="6" w:space="0"/>
              <w:right w:val="outset" w:color="auto" w:sz="6" w:space="0"/>
            </w:tcBorders>
            <w:noWrap w:val="0"/>
            <w:vAlign w:val="center"/>
          </w:tcPr>
          <w:p>
            <w:r>
              <w:rPr>
                <w:rFonts w:hint="eastAsia"/>
                <w:lang w:val="en-US" w:eastAsia="zh-CN"/>
              </w:rPr>
              <w:t>3</w:t>
            </w:r>
            <w:r>
              <w:t>.00</w:t>
            </w:r>
          </w:p>
        </w:tc>
        <w:tc>
          <w:tcPr>
            <w:tcW w:w="4766"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评标委员会根据投标产品主要零配件的性能等进行评比：</w:t>
            </w:r>
          </w:p>
          <w:p>
            <w:r>
              <w:rPr>
                <w:rFonts w:hint="eastAsia"/>
              </w:rPr>
              <w:t>主要零配件性能稳定，维修、更换便利性高得</w:t>
            </w:r>
            <w:r>
              <w:rPr>
                <w:rFonts w:hint="eastAsia"/>
                <w:lang w:val="en-US" w:eastAsia="zh-CN"/>
              </w:rPr>
              <w:t>3</w:t>
            </w:r>
            <w:r>
              <w:rPr>
                <w:rFonts w:hint="eastAsia"/>
              </w:rPr>
              <w:t>分；主要零配件性能较为稳定，维修、更换便利性较高得</w:t>
            </w:r>
            <w:r>
              <w:rPr>
                <w:rFonts w:hint="eastAsia"/>
                <w:lang w:val="en-US" w:eastAsia="zh-CN"/>
              </w:rPr>
              <w:t>2</w:t>
            </w:r>
            <w:r>
              <w:rPr>
                <w:rFonts w:hint="eastAsia"/>
              </w:rPr>
              <w:t>分；主要零配件性能满足使用要求，维修、更换便利性有待提升得1分。</w:t>
            </w:r>
          </w:p>
        </w:tc>
        <w:tc>
          <w:tcPr>
            <w:tcW w:w="21" w:type="dxa"/>
            <w:tcBorders>
              <w:top w:val="outset" w:color="auto" w:sz="6" w:space="0"/>
              <w:left w:val="outset" w:color="auto" w:sz="6" w:space="0"/>
              <w:bottom w:val="outset" w:color="auto" w:sz="6" w:space="0"/>
              <w:right w:val="outset" w:color="auto" w:sz="6" w:space="0"/>
            </w:tcBorders>
            <w:noWrap w:val="0"/>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noWrap w:val="0"/>
            <w:vAlign w:val="center"/>
          </w:tcPr>
          <w:p/>
        </w:tc>
        <w:tc>
          <w:tcPr>
            <w:tcW w:w="1382" w:type="dxa"/>
            <w:tcBorders>
              <w:top w:val="outset" w:color="auto" w:sz="6" w:space="0"/>
              <w:left w:val="outset" w:color="auto" w:sz="6" w:space="0"/>
              <w:bottom w:val="outset" w:color="auto" w:sz="6" w:space="0"/>
              <w:right w:val="outset" w:color="auto" w:sz="6" w:space="0"/>
            </w:tcBorders>
            <w:noWrap w:val="0"/>
            <w:vAlign w:val="center"/>
          </w:tcPr>
          <w:p>
            <w:r>
              <w:t>设计、安装、调试、验收方案</w:t>
            </w:r>
          </w:p>
        </w:tc>
        <w:tc>
          <w:tcPr>
            <w:tcW w:w="949" w:type="dxa"/>
            <w:tcBorders>
              <w:top w:val="outset" w:color="auto" w:sz="6" w:space="0"/>
              <w:left w:val="outset" w:color="auto" w:sz="6" w:space="0"/>
              <w:bottom w:val="outset" w:color="auto" w:sz="6" w:space="0"/>
              <w:right w:val="outset" w:color="auto" w:sz="6" w:space="0"/>
            </w:tcBorders>
            <w:noWrap w:val="0"/>
            <w:vAlign w:val="center"/>
          </w:tcPr>
          <w:p>
            <w:r>
              <w:t>3.00</w:t>
            </w:r>
          </w:p>
        </w:tc>
        <w:tc>
          <w:tcPr>
            <w:tcW w:w="4766"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评标委员会根据投标人提供的设计、安装、调试、验收方案等进行评比：</w:t>
            </w:r>
          </w:p>
          <w:p>
            <w:r>
              <w:rPr>
                <w:rFonts w:hint="eastAsia"/>
              </w:rPr>
              <w:t>方案科学有效且具有可操作性的，得3分；方案一般且能满足需要的，得2分；方案不完整但能基本满足需要的，得 1分；方案存在明显缺陷的或无方案的，不得分。</w:t>
            </w:r>
          </w:p>
        </w:tc>
        <w:tc>
          <w:tcPr>
            <w:tcW w:w="21" w:type="dxa"/>
            <w:tcBorders>
              <w:top w:val="outset" w:color="auto" w:sz="6" w:space="0"/>
              <w:left w:val="outset" w:color="auto" w:sz="6" w:space="0"/>
              <w:bottom w:val="outset" w:color="auto" w:sz="6" w:space="0"/>
              <w:right w:val="outset" w:color="auto" w:sz="6" w:space="0"/>
            </w:tcBorders>
            <w:noWrap w:val="0"/>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restart"/>
            <w:tcBorders>
              <w:top w:val="outset" w:color="auto" w:sz="6" w:space="0"/>
              <w:left w:val="outset" w:color="auto" w:sz="6" w:space="0"/>
              <w:bottom w:val="outset" w:color="auto" w:sz="6" w:space="0"/>
              <w:right w:val="outset" w:color="auto" w:sz="6" w:space="0"/>
            </w:tcBorders>
            <w:noWrap w:val="0"/>
            <w:vAlign w:val="center"/>
          </w:tcPr>
          <w:p>
            <w:r>
              <w:t>售后服务承诺（满分</w:t>
            </w:r>
            <w:r>
              <w:rPr>
                <w:rFonts w:hint="eastAsia"/>
                <w:lang w:val="en-US" w:eastAsia="zh-CN"/>
              </w:rPr>
              <w:t>5</w:t>
            </w:r>
            <w:r>
              <w:t>分）</w:t>
            </w:r>
          </w:p>
        </w:tc>
        <w:tc>
          <w:tcPr>
            <w:tcW w:w="1382" w:type="dxa"/>
            <w:tcBorders>
              <w:top w:val="outset" w:color="auto" w:sz="6" w:space="0"/>
              <w:left w:val="outset" w:color="auto" w:sz="6" w:space="0"/>
              <w:bottom w:val="outset" w:color="auto" w:sz="6" w:space="0"/>
              <w:right w:val="outset" w:color="auto" w:sz="6" w:space="0"/>
            </w:tcBorders>
            <w:noWrap w:val="0"/>
            <w:vAlign w:val="center"/>
          </w:tcPr>
          <w:p>
            <w:r>
              <w:t>售后服务方案</w:t>
            </w:r>
          </w:p>
        </w:tc>
        <w:tc>
          <w:tcPr>
            <w:tcW w:w="949" w:type="dxa"/>
            <w:tcBorders>
              <w:top w:val="outset" w:color="auto" w:sz="6" w:space="0"/>
              <w:left w:val="outset" w:color="auto" w:sz="6" w:space="0"/>
              <w:bottom w:val="outset" w:color="auto" w:sz="6" w:space="0"/>
              <w:right w:val="outset" w:color="auto" w:sz="6" w:space="0"/>
            </w:tcBorders>
            <w:noWrap w:val="0"/>
            <w:vAlign w:val="center"/>
          </w:tcPr>
          <w:p>
            <w:r>
              <w:rPr>
                <w:rFonts w:hint="eastAsia"/>
                <w:lang w:val="en-US" w:eastAsia="zh-CN"/>
              </w:rPr>
              <w:t>1</w:t>
            </w:r>
            <w:r>
              <w:t>.00</w:t>
            </w:r>
          </w:p>
        </w:tc>
        <w:tc>
          <w:tcPr>
            <w:tcW w:w="4766" w:type="dxa"/>
            <w:tcBorders>
              <w:top w:val="outset" w:color="auto" w:sz="6" w:space="0"/>
              <w:left w:val="outset" w:color="auto" w:sz="6" w:space="0"/>
              <w:bottom w:val="outset" w:color="auto" w:sz="6" w:space="0"/>
              <w:right w:val="outset" w:color="auto" w:sz="6" w:space="0"/>
            </w:tcBorders>
            <w:noWrap w:val="0"/>
            <w:vAlign w:val="center"/>
          </w:tcPr>
          <w:p>
            <w:r>
              <w:rPr>
                <w:rFonts w:hint="eastAsia"/>
              </w:rPr>
              <w:t>有明确的“售后服务方案”，方案中保修内容与范围、维修响应时间等；优于招标文件要求的，有一项加0.5分，加满1分为止；与招标文件要求有非实质性负偏离的，有一项扣0.5分，扣完</w:t>
            </w:r>
            <w:r>
              <w:rPr>
                <w:rFonts w:hint="eastAsia"/>
                <w:lang w:val="en-US" w:eastAsia="zh-CN"/>
              </w:rPr>
              <w:t>1</w:t>
            </w:r>
            <w:r>
              <w:rPr>
                <w:rFonts w:hint="eastAsia"/>
              </w:rPr>
              <w:t>分为止。 没有“售后服务方案”的，不得分。</w:t>
            </w:r>
          </w:p>
        </w:tc>
        <w:tc>
          <w:tcPr>
            <w:tcW w:w="21" w:type="dxa"/>
            <w:tcBorders>
              <w:top w:val="outset" w:color="auto" w:sz="6" w:space="0"/>
              <w:left w:val="outset" w:color="auto" w:sz="6" w:space="0"/>
              <w:bottom w:val="outset" w:color="auto" w:sz="6" w:space="0"/>
              <w:right w:val="outset" w:color="auto" w:sz="6" w:space="0"/>
            </w:tcBorders>
            <w:noWrap w:val="0"/>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noWrap w:val="0"/>
            <w:vAlign w:val="center"/>
          </w:tcPr>
          <w:p/>
        </w:tc>
        <w:tc>
          <w:tcPr>
            <w:tcW w:w="1382" w:type="dxa"/>
            <w:tcBorders>
              <w:top w:val="outset" w:color="auto" w:sz="6" w:space="0"/>
              <w:left w:val="outset" w:color="auto" w:sz="6" w:space="0"/>
              <w:bottom w:val="outset" w:color="auto" w:sz="6" w:space="0"/>
              <w:right w:val="outset" w:color="auto" w:sz="6" w:space="0"/>
            </w:tcBorders>
            <w:noWrap w:val="0"/>
            <w:vAlign w:val="center"/>
          </w:tcPr>
          <w:p>
            <w:r>
              <w:t>售后服务有利于用户节省投资和维修保养</w:t>
            </w:r>
          </w:p>
        </w:tc>
        <w:tc>
          <w:tcPr>
            <w:tcW w:w="949" w:type="dxa"/>
            <w:tcBorders>
              <w:top w:val="outset" w:color="auto" w:sz="6" w:space="0"/>
              <w:left w:val="outset" w:color="auto" w:sz="6" w:space="0"/>
              <w:bottom w:val="outset" w:color="auto" w:sz="6" w:space="0"/>
              <w:right w:val="outset" w:color="auto" w:sz="6" w:space="0"/>
            </w:tcBorders>
            <w:noWrap w:val="0"/>
            <w:vAlign w:val="center"/>
          </w:tcPr>
          <w:p>
            <w:r>
              <w:rPr>
                <w:rFonts w:hint="eastAsia"/>
                <w:lang w:val="en-US" w:eastAsia="zh-CN"/>
              </w:rPr>
              <w:t>1</w:t>
            </w:r>
            <w:r>
              <w:t>.00</w:t>
            </w:r>
          </w:p>
        </w:tc>
        <w:tc>
          <w:tcPr>
            <w:tcW w:w="4766" w:type="dxa"/>
            <w:tcBorders>
              <w:top w:val="outset" w:color="auto" w:sz="6" w:space="0"/>
              <w:left w:val="outset" w:color="auto" w:sz="6" w:space="0"/>
              <w:bottom w:val="outset" w:color="auto" w:sz="6" w:space="0"/>
              <w:right w:val="outset" w:color="auto" w:sz="6" w:space="0"/>
            </w:tcBorders>
            <w:noWrap w:val="0"/>
            <w:vAlign w:val="center"/>
          </w:tcPr>
          <w:p>
            <w:r>
              <w:t>备品备件提供、维修费用结算等其他有利于用户的服务承诺，有一项得0.5分，得满</w:t>
            </w:r>
            <w:r>
              <w:rPr>
                <w:rFonts w:hint="eastAsia"/>
                <w:lang w:val="en-US" w:eastAsia="zh-CN"/>
              </w:rPr>
              <w:t>1</w:t>
            </w:r>
            <w:r>
              <w:t>分为止。</w:t>
            </w:r>
          </w:p>
        </w:tc>
        <w:tc>
          <w:tcPr>
            <w:tcW w:w="21" w:type="dxa"/>
            <w:tcBorders>
              <w:top w:val="outset" w:color="auto" w:sz="6" w:space="0"/>
              <w:left w:val="outset" w:color="auto" w:sz="6" w:space="0"/>
              <w:bottom w:val="outset" w:color="auto" w:sz="6" w:space="0"/>
              <w:right w:val="outset" w:color="auto" w:sz="6" w:space="0"/>
            </w:tcBorders>
            <w:noWrap w:val="0"/>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noWrap w:val="0"/>
            <w:vAlign w:val="center"/>
          </w:tcPr>
          <w:p/>
        </w:tc>
        <w:tc>
          <w:tcPr>
            <w:tcW w:w="1382" w:type="dxa"/>
            <w:tcBorders>
              <w:top w:val="outset" w:color="auto" w:sz="6" w:space="0"/>
              <w:left w:val="outset" w:color="auto" w:sz="6" w:space="0"/>
              <w:bottom w:val="outset" w:color="auto" w:sz="6" w:space="0"/>
              <w:right w:val="outset" w:color="auto" w:sz="6" w:space="0"/>
            </w:tcBorders>
            <w:noWrap w:val="0"/>
            <w:vAlign w:val="center"/>
          </w:tcPr>
          <w:p>
            <w:r>
              <w:t>本地化售后服务</w:t>
            </w:r>
          </w:p>
        </w:tc>
        <w:tc>
          <w:tcPr>
            <w:tcW w:w="949" w:type="dxa"/>
            <w:tcBorders>
              <w:top w:val="outset" w:color="auto" w:sz="6" w:space="0"/>
              <w:left w:val="outset" w:color="auto" w:sz="6" w:space="0"/>
              <w:bottom w:val="outset" w:color="auto" w:sz="6" w:space="0"/>
              <w:right w:val="outset" w:color="auto" w:sz="6" w:space="0"/>
            </w:tcBorders>
            <w:noWrap w:val="0"/>
            <w:vAlign w:val="center"/>
          </w:tcPr>
          <w:p>
            <w:pPr>
              <w:rPr>
                <w:rFonts w:hint="default" w:eastAsia="宋体"/>
                <w:lang w:val="en-US" w:eastAsia="zh-CN"/>
              </w:rPr>
            </w:pPr>
            <w:r>
              <w:rPr>
                <w:rFonts w:hint="eastAsia"/>
                <w:lang w:val="en-US" w:eastAsia="zh-CN"/>
              </w:rPr>
              <w:t>1.0</w:t>
            </w:r>
          </w:p>
        </w:tc>
        <w:tc>
          <w:tcPr>
            <w:tcW w:w="4766" w:type="dxa"/>
            <w:tcBorders>
              <w:top w:val="outset" w:color="auto" w:sz="6" w:space="0"/>
              <w:left w:val="outset" w:color="auto" w:sz="6" w:space="0"/>
              <w:bottom w:val="outset" w:color="auto" w:sz="6" w:space="0"/>
              <w:right w:val="outset" w:color="auto" w:sz="6" w:space="0"/>
            </w:tcBorders>
            <w:noWrap w:val="0"/>
            <w:vAlign w:val="center"/>
          </w:tcPr>
          <w:p>
            <w:r>
              <w:t>投标产品制造厂家或供应商设立了健全的售后服务机构网点，有详细的售后服务机构名单、地址、服务电话和维修人员名单等，在芜湖市（含无为市及南陵县）能提供本地化售后服务的，得</w:t>
            </w:r>
            <w:r>
              <w:rPr>
                <w:rFonts w:hint="eastAsia"/>
                <w:lang w:val="en-US" w:eastAsia="zh-CN"/>
              </w:rPr>
              <w:t>1</w:t>
            </w:r>
            <w:r>
              <w:t>分；在芜湖市（含无为市及南陵县）能提供委托本地化售后服务的，得</w:t>
            </w:r>
            <w:r>
              <w:rPr>
                <w:rFonts w:hint="eastAsia"/>
                <w:lang w:val="en-US" w:eastAsia="zh-CN"/>
              </w:rPr>
              <w:t>0.5分，未</w:t>
            </w:r>
            <w:r>
              <w:t>提供的，不得分。（供应商须在投标文件中提供相关证明材料并加盖供应商公章）</w:t>
            </w:r>
          </w:p>
        </w:tc>
        <w:tc>
          <w:tcPr>
            <w:tcW w:w="21" w:type="dxa"/>
            <w:tcBorders>
              <w:top w:val="outset" w:color="auto" w:sz="6" w:space="0"/>
              <w:left w:val="outset" w:color="auto" w:sz="6" w:space="0"/>
              <w:bottom w:val="outset" w:color="auto" w:sz="6" w:space="0"/>
              <w:right w:val="outset" w:color="auto" w:sz="6" w:space="0"/>
            </w:tcBorders>
            <w:noWrap w:val="0"/>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noWrap w:val="0"/>
            <w:vAlign w:val="center"/>
          </w:tcPr>
          <w:p/>
        </w:tc>
        <w:tc>
          <w:tcPr>
            <w:tcW w:w="1382" w:type="dxa"/>
            <w:tcBorders>
              <w:top w:val="outset" w:color="auto" w:sz="6" w:space="0"/>
              <w:left w:val="outset" w:color="auto" w:sz="6" w:space="0"/>
              <w:bottom w:val="outset" w:color="auto" w:sz="6" w:space="0"/>
              <w:right w:val="outset" w:color="auto" w:sz="6" w:space="0"/>
            </w:tcBorders>
            <w:noWrap w:val="0"/>
            <w:vAlign w:val="center"/>
          </w:tcPr>
          <w:p>
            <w:r>
              <w:t>培训方案</w:t>
            </w:r>
          </w:p>
        </w:tc>
        <w:tc>
          <w:tcPr>
            <w:tcW w:w="949" w:type="dxa"/>
            <w:tcBorders>
              <w:top w:val="outset" w:color="auto" w:sz="6" w:space="0"/>
              <w:left w:val="outset" w:color="auto" w:sz="6" w:space="0"/>
              <w:bottom w:val="outset" w:color="auto" w:sz="6" w:space="0"/>
              <w:right w:val="outset" w:color="auto" w:sz="6" w:space="0"/>
            </w:tcBorders>
            <w:noWrap w:val="0"/>
            <w:vAlign w:val="center"/>
          </w:tcPr>
          <w:p>
            <w:r>
              <w:rPr>
                <w:rFonts w:hint="eastAsia"/>
                <w:lang w:val="en-US" w:eastAsia="zh-CN"/>
              </w:rPr>
              <w:t>2</w:t>
            </w:r>
            <w:r>
              <w:t>.00</w:t>
            </w:r>
          </w:p>
        </w:tc>
        <w:tc>
          <w:tcPr>
            <w:tcW w:w="4766"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rPr>
              <w:t>评标委员会根据投标人提供的培训方案进行评比，培训方案包括但不限于培训的时间、地点、目标、方式、内容、对象和措施：</w:t>
            </w:r>
          </w:p>
          <w:p>
            <w:r>
              <w:rPr>
                <w:rFonts w:hint="eastAsia"/>
              </w:rPr>
              <w:t>培训方案内容详实、表述清晰，内容完善得2分；方案内容完整、表述较清晰，内容较完善得1.5分；方案内容简单有待提高得1分。方案存在明显缺陷的或无方案的，不得分。</w:t>
            </w:r>
          </w:p>
        </w:tc>
        <w:tc>
          <w:tcPr>
            <w:tcW w:w="21" w:type="dxa"/>
            <w:tcBorders>
              <w:top w:val="outset" w:color="auto" w:sz="6" w:space="0"/>
              <w:left w:val="outset" w:color="auto" w:sz="6" w:space="0"/>
              <w:bottom w:val="outset" w:color="auto" w:sz="6" w:space="0"/>
              <w:right w:val="outset" w:color="auto" w:sz="6" w:space="0"/>
            </w:tcBorders>
            <w:noWrap w:val="0"/>
            <w:vAlign w:val="center"/>
          </w:tcPr>
          <w:p/>
        </w:tc>
      </w:tr>
    </w:tbl>
    <w:p>
      <w:pPr>
        <w:spacing w:line="360" w:lineRule="auto"/>
        <w:ind w:firstLine="480" w:firstLineChars="200"/>
        <w:rPr>
          <w:rFonts w:ascii="宋体" w:hAnsi="宋体"/>
          <w:sz w:val="24"/>
          <w:szCs w:val="24"/>
        </w:rPr>
      </w:pPr>
      <w:r>
        <w:rPr>
          <w:rFonts w:hint="eastAsia" w:ascii="宋体" w:hAnsi="宋体"/>
          <w:sz w:val="24"/>
          <w:szCs w:val="24"/>
        </w:rPr>
        <w:t>备注：评标委员会成员“技术标”合计分超出其他成员平均值±50%时，须写明评分依据及理由。</w:t>
      </w:r>
    </w:p>
    <w:p>
      <w:pPr>
        <w:spacing w:line="360" w:lineRule="auto"/>
        <w:ind w:firstLine="482" w:firstLineChars="200"/>
        <w:rPr>
          <w:rFonts w:ascii="宋体" w:hAnsi="宋体"/>
          <w:b/>
          <w:sz w:val="24"/>
          <w:szCs w:val="24"/>
        </w:rPr>
      </w:pPr>
      <w:r>
        <w:rPr>
          <w:rFonts w:hint="eastAsia" w:ascii="宋体" w:hAnsi="宋体"/>
          <w:b/>
          <w:sz w:val="24"/>
          <w:szCs w:val="24"/>
        </w:rPr>
        <w:t xml:space="preserve">4．评审结果 </w:t>
      </w:r>
    </w:p>
    <w:p>
      <w:pPr>
        <w:spacing w:line="360" w:lineRule="auto"/>
        <w:ind w:firstLine="480" w:firstLineChars="200"/>
        <w:rPr>
          <w:rFonts w:ascii="宋体" w:hAnsi="宋体"/>
          <w:sz w:val="24"/>
          <w:szCs w:val="24"/>
        </w:rPr>
      </w:pPr>
      <w:r>
        <w:rPr>
          <w:rFonts w:hint="eastAsia" w:ascii="宋体" w:hAnsi="宋体"/>
          <w:sz w:val="24"/>
          <w:szCs w:val="24"/>
        </w:rPr>
        <w:t>4.1经评审合格的投标文件，</w:t>
      </w:r>
      <w:r>
        <w:rPr>
          <w:rFonts w:ascii="宋体" w:hAnsi="宋体" w:eastAsia="宋体"/>
          <w:sz w:val="24"/>
        </w:rPr>
        <w:t>评标委员会各成员应当独立对每个</w:t>
      </w:r>
      <w:r>
        <w:rPr>
          <w:rFonts w:hint="eastAsia" w:ascii="宋体" w:hAnsi="宋体" w:eastAsia="宋体"/>
          <w:sz w:val="24"/>
        </w:rPr>
        <w:t>有效</w:t>
      </w:r>
      <w:r>
        <w:rPr>
          <w:rFonts w:ascii="宋体" w:hAnsi="宋体" w:eastAsia="宋体"/>
          <w:sz w:val="24"/>
        </w:rPr>
        <w:t>投标人的投标文件进行评</w:t>
      </w:r>
      <w:r>
        <w:rPr>
          <w:rFonts w:hint="eastAsia" w:ascii="宋体" w:hAnsi="宋体" w:eastAsia="宋体"/>
          <w:sz w:val="24"/>
        </w:rPr>
        <w:t>分</w:t>
      </w:r>
      <w:r>
        <w:rPr>
          <w:rFonts w:ascii="宋体" w:hAnsi="宋体" w:eastAsia="宋体"/>
          <w:sz w:val="24"/>
        </w:rPr>
        <w:t>，并汇总每个投</w:t>
      </w:r>
      <w:r>
        <w:rPr>
          <w:rFonts w:hint="eastAsia" w:ascii="宋体" w:hAnsi="宋体" w:eastAsia="宋体"/>
          <w:sz w:val="24"/>
        </w:rPr>
        <w:t>标人的得分</w:t>
      </w:r>
      <w:r>
        <w:rPr>
          <w:rFonts w:hint="eastAsia" w:ascii="宋体" w:hAnsi="宋体" w:eastAsia="宋体"/>
          <w:sz w:val="24"/>
          <w:lang w:eastAsia="zh-CN"/>
        </w:rPr>
        <w:t>，</w:t>
      </w:r>
      <w:r>
        <w:rPr>
          <w:rFonts w:hint="eastAsia" w:ascii="宋体" w:hAnsi="宋体" w:eastAsia="宋体"/>
          <w:sz w:val="24"/>
        </w:rPr>
        <w:t>取各位评委评分之平均值，四舍五入保留至小数点后两位数，</w:t>
      </w:r>
      <w:r>
        <w:rPr>
          <w:rFonts w:ascii="宋体" w:hAnsi="宋体" w:eastAsia="宋体"/>
          <w:sz w:val="24"/>
        </w:rPr>
        <w:t>得到该投标</w:t>
      </w:r>
      <w:r>
        <w:rPr>
          <w:rFonts w:hint="eastAsia" w:ascii="宋体" w:hAnsi="宋体" w:eastAsia="宋体"/>
          <w:sz w:val="24"/>
        </w:rPr>
        <w:t>人</w:t>
      </w:r>
      <w:r>
        <w:rPr>
          <w:rFonts w:ascii="宋体" w:hAnsi="宋体" w:eastAsia="宋体"/>
          <w:sz w:val="24"/>
        </w:rPr>
        <w:t>的</w:t>
      </w:r>
      <w:r>
        <w:rPr>
          <w:rFonts w:hint="eastAsia" w:ascii="宋体" w:hAnsi="宋体" w:eastAsia="宋体"/>
          <w:sz w:val="24"/>
          <w:lang w:val="en-US" w:eastAsia="zh-CN"/>
        </w:rPr>
        <w:t>综合评审得分</w:t>
      </w:r>
      <w:r>
        <w:rPr>
          <w:rFonts w:hint="eastAsia" w:ascii="宋体" w:hAnsi="宋体" w:eastAsia="宋体"/>
          <w:sz w:val="24"/>
        </w:rPr>
        <w:t>。</w:t>
      </w:r>
      <w:r>
        <w:rPr>
          <w:rFonts w:hint="eastAsia" w:ascii="宋体" w:hAnsi="宋体"/>
          <w:sz w:val="24"/>
          <w:szCs w:val="24"/>
        </w:rPr>
        <w:t>评标委员会按综合评审得分从高到低的顺序依次推荐2名中标候选供应商。排名第一的为首选中标供应商，排名第二的为备选供应商。</w:t>
      </w:r>
    </w:p>
    <w:p>
      <w:pPr>
        <w:spacing w:line="360" w:lineRule="auto"/>
        <w:ind w:firstLine="480" w:firstLineChars="200"/>
        <w:rPr>
          <w:rFonts w:ascii="宋体" w:hAnsi="宋体"/>
          <w:sz w:val="24"/>
          <w:szCs w:val="24"/>
        </w:rPr>
      </w:pPr>
      <w:r>
        <w:rPr>
          <w:rFonts w:hint="eastAsia" w:ascii="宋体" w:hAnsi="宋体"/>
          <w:sz w:val="24"/>
          <w:szCs w:val="24"/>
        </w:rPr>
        <w:t>4.2评标委员会（安排代理机构）对拟推荐的中标候选供应商的信用状况进行查询，经查询若被列入供应商须知前附表中失信名单的，由评标委员会取消其中标候选供应商资格，并按4.1条重新确定中标候选供应商人选，完成相关工作，与此同时，将对拟推荐的中标候选供应商的截至评标日的信用状况进行查询并在截图上由评委会签字确认。</w:t>
      </w:r>
    </w:p>
    <w:p>
      <w:pPr>
        <w:spacing w:line="360" w:lineRule="auto"/>
        <w:ind w:firstLine="480" w:firstLineChars="200"/>
        <w:rPr>
          <w:rFonts w:ascii="宋体" w:hAnsi="宋体"/>
          <w:sz w:val="24"/>
          <w:szCs w:val="24"/>
        </w:rPr>
      </w:pPr>
      <w:r>
        <w:rPr>
          <w:rFonts w:hint="eastAsia" w:ascii="宋体" w:hAnsi="宋体"/>
          <w:sz w:val="24"/>
          <w:szCs w:val="24"/>
        </w:rPr>
        <w:t>4.3评标委员会完成评标后，应当向采购人提交书面评标报告。</w:t>
      </w:r>
    </w:p>
    <w:p>
      <w:pPr>
        <w:spacing w:line="360" w:lineRule="auto"/>
        <w:ind w:firstLine="482" w:firstLineChars="200"/>
        <w:rPr>
          <w:rFonts w:ascii="宋体" w:hAnsi="宋体"/>
          <w:b/>
          <w:sz w:val="24"/>
          <w:szCs w:val="24"/>
        </w:rPr>
      </w:pPr>
      <w:r>
        <w:rPr>
          <w:rFonts w:hint="eastAsia" w:ascii="宋体" w:hAnsi="宋体"/>
          <w:b/>
          <w:sz w:val="24"/>
          <w:szCs w:val="24"/>
        </w:rPr>
        <w:t>5.例外情况</w:t>
      </w:r>
    </w:p>
    <w:p>
      <w:pPr>
        <w:spacing w:line="360" w:lineRule="auto"/>
        <w:ind w:firstLine="480" w:firstLineChars="200"/>
        <w:rPr>
          <w:rFonts w:ascii="宋体" w:hAnsi="宋体"/>
          <w:sz w:val="24"/>
          <w:szCs w:val="24"/>
        </w:rPr>
      </w:pPr>
      <w:r>
        <w:rPr>
          <w:rFonts w:hint="eastAsia" w:ascii="宋体" w:hAnsi="宋体"/>
          <w:sz w:val="24"/>
          <w:szCs w:val="24"/>
        </w:rPr>
        <w:t>5.1当出现供应商综合评审得分相等时，按下列顺序排序：“信用标”得分高的优先；仍相同时，“投标报价”得分高的优先；仍相同时，“投标产品及其技术参数” 得分高的优先；依然相同时，由评标委员会现场抽签确定顺序。</w:t>
      </w:r>
    </w:p>
    <w:p>
      <w:pPr>
        <w:spacing w:line="360" w:lineRule="auto"/>
        <w:ind w:firstLine="480" w:firstLineChars="200"/>
        <w:rPr>
          <w:rFonts w:ascii="宋体" w:hAnsi="宋体"/>
          <w:sz w:val="24"/>
          <w:szCs w:val="24"/>
        </w:rPr>
      </w:pPr>
      <w:r>
        <w:rPr>
          <w:rFonts w:hint="eastAsia" w:ascii="宋体" w:hAnsi="宋体"/>
          <w:sz w:val="24"/>
          <w:szCs w:val="24"/>
        </w:rPr>
        <w:t>5.2当评标委员会认为各投标报价均较高时，可以否决全部投标。</w:t>
      </w:r>
    </w:p>
    <w:p>
      <w:pPr>
        <w:spacing w:line="360" w:lineRule="auto"/>
        <w:ind w:firstLine="480" w:firstLineChars="200"/>
        <w:rPr>
          <w:rFonts w:ascii="宋体" w:hAnsi="宋体"/>
          <w:sz w:val="24"/>
          <w:szCs w:val="24"/>
        </w:rPr>
      </w:pPr>
      <w:r>
        <w:rPr>
          <w:rFonts w:hint="eastAsia" w:ascii="宋体" w:hAnsi="宋体"/>
          <w:sz w:val="24"/>
          <w:szCs w:val="24"/>
        </w:rPr>
        <w:t>5.3招标文件条款存在含义不清或者相互矛盾的，评标委员会应当针对相应条款作出有利于相应供应商的结论。</w:t>
      </w:r>
    </w:p>
    <w:p>
      <w:pPr>
        <w:spacing w:line="360" w:lineRule="auto"/>
        <w:ind w:firstLine="480" w:firstLineChars="200"/>
        <w:rPr>
          <w:rFonts w:ascii="宋体" w:hAnsi="宋体"/>
          <w:sz w:val="24"/>
          <w:szCs w:val="24"/>
        </w:rPr>
      </w:pPr>
      <w:r>
        <w:rPr>
          <w:rFonts w:hint="eastAsia" w:ascii="宋体" w:hAnsi="宋体"/>
          <w:sz w:val="24"/>
          <w:szCs w:val="24"/>
        </w:rPr>
        <w:t>5.4 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pPr>
        <w:spacing w:line="360" w:lineRule="auto"/>
        <w:ind w:firstLine="482" w:firstLineChars="200"/>
        <w:rPr>
          <w:rFonts w:ascii="宋体" w:hAnsi="宋体"/>
          <w:b/>
          <w:sz w:val="24"/>
          <w:szCs w:val="24"/>
        </w:rPr>
      </w:pPr>
      <w:r>
        <w:rPr>
          <w:rFonts w:hint="eastAsia" w:ascii="宋体" w:hAnsi="宋体"/>
          <w:b/>
          <w:sz w:val="24"/>
          <w:szCs w:val="24"/>
        </w:rPr>
        <w:t>6.其他</w:t>
      </w:r>
    </w:p>
    <w:p>
      <w:pPr>
        <w:spacing w:line="360" w:lineRule="auto"/>
        <w:ind w:firstLine="480" w:firstLineChars="200"/>
        <w:rPr>
          <w:rFonts w:ascii="宋体" w:hAnsi="宋体"/>
          <w:sz w:val="24"/>
          <w:szCs w:val="24"/>
        </w:rPr>
      </w:pPr>
      <w:r>
        <w:rPr>
          <w:rFonts w:hint="eastAsia" w:ascii="宋体" w:hAnsi="宋体"/>
          <w:sz w:val="24"/>
          <w:szCs w:val="24"/>
        </w:rPr>
        <w:t>6.1中标结果公告：公告内容应包括采购人及其委托的代理机构的名称、地址、联系方式，项目名称和项目编号，中标供应商名称、地址和中标金额，主要中标标的的名称、规格型号、数量、单价、服务要求，中标供应商业绩，评标被否决单位及原因，中标公告期限以及评标委员会成员名单。招标文件随之公告。</w:t>
      </w:r>
    </w:p>
    <w:p/>
    <w:p>
      <w:pPr>
        <w:ind w:firstLine="560" w:firstLineChars="200"/>
        <w:rPr>
          <w:rFonts w:hint="default" w:ascii="仿宋" w:hAnsi="仿宋" w:eastAsia="仿宋" w:cs="Times New Roman"/>
          <w:sz w:val="28"/>
          <w:szCs w:val="28"/>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WQwMGVhYmE3NmY5MjNhMzhjNzVlOWI1OTgxNDUifQ=="/>
  </w:docVars>
  <w:rsids>
    <w:rsidRoot w:val="00000000"/>
    <w:rsid w:val="075D7EB5"/>
    <w:rsid w:val="0FD3043D"/>
    <w:rsid w:val="17A10E21"/>
    <w:rsid w:val="1D32637F"/>
    <w:rsid w:val="2ACA368C"/>
    <w:rsid w:val="2C755597"/>
    <w:rsid w:val="33DC4CC7"/>
    <w:rsid w:val="346B5FB1"/>
    <w:rsid w:val="38347D25"/>
    <w:rsid w:val="520A3597"/>
    <w:rsid w:val="5A1666D7"/>
    <w:rsid w:val="5A3D6141"/>
    <w:rsid w:val="60E70C20"/>
    <w:rsid w:val="62E7665E"/>
    <w:rsid w:val="7379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4">
    <w:name w:val="annotation text"/>
    <w:basedOn w:val="1"/>
    <w:qFormat/>
    <w:uiPriority w:val="99"/>
    <w:pPr>
      <w:jc w:val="left"/>
    </w:pPr>
  </w:style>
  <w:style w:type="paragraph" w:styleId="5">
    <w:name w:val="Body Text Indent"/>
    <w:basedOn w:val="1"/>
    <w:qFormat/>
    <w:uiPriority w:val="0"/>
    <w:pPr>
      <w:spacing w:after="120"/>
      <w:ind w:left="420" w:leftChars="200"/>
    </w:pPr>
  </w:style>
  <w:style w:type="paragraph" w:styleId="6">
    <w:name w:val="Body Text First Indent 2"/>
    <w:basedOn w:val="5"/>
    <w:qFormat/>
    <w:uiPriority w:val="0"/>
    <w:pPr>
      <w:ind w:firstLine="420" w:firstLineChars="200"/>
    </w:pPr>
  </w:style>
  <w:style w:type="paragraph" w:customStyle="1" w:styleId="9">
    <w:name w:val="列出段落1"/>
    <w:basedOn w:val="1"/>
    <w:qFormat/>
    <w:uiPriority w:val="0"/>
    <w:pPr>
      <w:ind w:firstLine="420" w:firstLineChars="200"/>
    </w:pPr>
    <w:rPr>
      <w:kern w:val="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3869</Words>
  <Characters>4028</Characters>
  <Lines>0</Lines>
  <Paragraphs>0</Paragraphs>
  <TotalTime>0</TotalTime>
  <ScaleCrop>false</ScaleCrop>
  <LinksUpToDate>false</LinksUpToDate>
  <CharactersWithSpaces>4102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2022-05-13T04:56:00Z</dcterms:created>
  <dc:creator>李冀</dc:creator>
  <cp:lastModifiedBy>李冀</cp:lastModifiedBy>
  <dcterms:modified xsi:type="dcterms:W3CDTF">2022-05-14T03:02:56Z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CD43B1B925DF4591B5B08CCE4EB762CB</vt:lpwstr>
  </property>
</Properties>
</file>