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2023010</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sz w:val="52"/>
          <w:szCs w:val="52"/>
        </w:rPr>
      </w:pPr>
      <w:r>
        <w:rPr>
          <w:rFonts w:hint="eastAsia" w:ascii="华文中宋" w:hAnsi="华文中宋" w:eastAsia="华文中宋"/>
          <w:b/>
          <w:bCs/>
          <w:sz w:val="52"/>
          <w:szCs w:val="52"/>
          <w:lang w:eastAsia="zh-CN"/>
        </w:rPr>
        <w:t>2023-2025学年学生实验服（白大衣）购置项目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2023年4月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29"/>
          <w:rFonts w:hint="eastAsia"/>
        </w:rPr>
        <w:t>第一章</w:t>
      </w:r>
      <w:r>
        <w:rPr>
          <w:rStyle w:val="29"/>
        </w:rPr>
        <w:t xml:space="preserve">  </w:t>
      </w:r>
      <w:r>
        <w:rPr>
          <w:rStyle w:val="29"/>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29"/>
          <w:rFonts w:hint="eastAsia"/>
        </w:rPr>
        <w:t>第二章</w:t>
      </w:r>
      <w:r>
        <w:rPr>
          <w:rStyle w:val="29"/>
        </w:rPr>
        <w:t xml:space="preserve">  </w:t>
      </w:r>
      <w:r>
        <w:rPr>
          <w:rStyle w:val="29"/>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29"/>
          <w:rFonts w:hint="eastAsia"/>
        </w:rPr>
        <w:t>第三章</w:t>
      </w:r>
      <w:r>
        <w:rPr>
          <w:rStyle w:val="29"/>
        </w:rPr>
        <w:t xml:space="preserve">  </w:t>
      </w:r>
      <w:r>
        <w:rPr>
          <w:rStyle w:val="29"/>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29"/>
          <w:rFonts w:hint="eastAsia"/>
        </w:rPr>
        <w:t>第四章</w:t>
      </w:r>
      <w:r>
        <w:rPr>
          <w:rStyle w:val="29"/>
        </w:rPr>
        <w:t xml:space="preserve">  </w:t>
      </w:r>
      <w:r>
        <w:rPr>
          <w:rStyle w:val="29"/>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29"/>
          <w:rFonts w:hint="eastAsia"/>
        </w:rPr>
        <w:t>第五章</w:t>
      </w:r>
      <w:r>
        <w:rPr>
          <w:rStyle w:val="29"/>
        </w:rPr>
        <w:t xml:space="preserve">  </w:t>
      </w:r>
      <w:r>
        <w:rPr>
          <w:rStyle w:val="29"/>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29"/>
          <w:rFonts w:hint="eastAsia"/>
        </w:rPr>
        <w:t>第六章</w:t>
      </w:r>
      <w:r>
        <w:rPr>
          <w:rStyle w:val="29"/>
        </w:rPr>
        <w:t xml:space="preserve">  </w:t>
      </w:r>
      <w:r>
        <w:rPr>
          <w:rStyle w:val="29"/>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29"/>
          <w:rFonts w:hint="eastAsia"/>
        </w:rPr>
        <w:t>第七章</w:t>
      </w:r>
      <w:r>
        <w:rPr>
          <w:rStyle w:val="29"/>
        </w:rPr>
        <w:t xml:space="preserve">  </w:t>
      </w:r>
      <w:r>
        <w:rPr>
          <w:rStyle w:val="29"/>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6"/>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bookmarkStart w:id="160" w:name="_GoBack"/>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皖南医学院2023-2025学年学生实验服（白大衣）购置项目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皖南医学院2023-2025学年学生实验服（白大衣）购置项目</w:t>
      </w:r>
      <w:r>
        <w:rPr>
          <w:rFonts w:hint="default"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（二）项目编号：WYGZ</w:t>
      </w:r>
      <w:r>
        <w:rPr>
          <w:rFonts w:hint="eastAsia" w:ascii="仿宋_GB2312" w:eastAsia="仿宋_GB2312" w:cs="宋体"/>
          <w:sz w:val="24"/>
          <w:szCs w:val="24"/>
          <w:lang w:val="en-US" w:eastAsia="zh-CN"/>
        </w:rPr>
        <w:t>2023010</w:t>
      </w:r>
      <w:r>
        <w:rPr>
          <w:rFonts w:hint="default"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（三）项目内容：</w:t>
      </w:r>
      <w:r>
        <w:rPr>
          <w:rFonts w:hint="eastAsia" w:ascii="仿宋_GB2312" w:eastAsia="仿宋_GB2312" w:cs="宋体"/>
          <w:sz w:val="24"/>
          <w:szCs w:val="24"/>
          <w:lang w:val="en-US" w:eastAsia="zh-CN"/>
        </w:rPr>
        <w:t>我校新生2023-2025学年学生实验服（白大衣）购置项目，学生/教师自愿购买，最终数量以开学实际购买为准，根据单价据实结算。服务期2年，合同一年一签，经考核通过后续签</w:t>
      </w:r>
      <w:r>
        <w:rPr>
          <w:rFonts w:hint="default" w:ascii="仿宋_GB2312" w:eastAsia="仿宋_GB2312" w:cs="宋体"/>
          <w:sz w:val="24"/>
          <w:szCs w:val="24"/>
          <w:lang w:val="en-US" w:eastAsia="zh-CN"/>
        </w:rPr>
        <w:t>，详见项目需求</w:t>
      </w:r>
      <w:r>
        <w:rPr>
          <w:rFonts w:hint="eastAsia"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45万元。</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5.三年内，在经营活动中没有重大违法记录；</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default" w:ascii="仿宋_GB2312" w:hAnsi="宋体" w:eastAsia="仿宋_GB2312" w:cs="宋体"/>
          <w:kern w:val="0"/>
          <w:sz w:val="24"/>
          <w:szCs w:val="24"/>
          <w:lang w:val="en-US" w:eastAsia="zh-CN" w:bidi="ar-SA"/>
        </w:rPr>
        <w:t>6.本项目不接受联合体投标。</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w:t>
      </w:r>
      <w:r>
        <w:rPr>
          <w:rFonts w:hint="eastAsia" w:ascii="仿宋_GB2312" w:eastAsia="仿宋_GB2312" w:cs="宋体"/>
          <w:sz w:val="24"/>
          <w:szCs w:val="24"/>
          <w:highlight w:val="none"/>
          <w:lang w:val="en-US" w:eastAsia="zh-CN"/>
        </w:rPr>
        <w:t>2023年4月12</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2023年4月19</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皖南医学院2023-2025学年学生实验服（白大衣）购置项目</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2023010</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w:t>
      </w:r>
      <w:r>
        <w:rPr>
          <w:rFonts w:hint="eastAsia" w:ascii="仿宋_GB2312" w:eastAsia="仿宋_GB2312" w:cs="宋体"/>
          <w:sz w:val="24"/>
          <w:szCs w:val="24"/>
          <w:highlight w:val="none"/>
          <w:lang w:val="en-US" w:eastAsia="zh-CN"/>
        </w:rPr>
        <w:t>2023年4月26</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w:t>
      </w:r>
      <w:r>
        <w:rPr>
          <w:rFonts w:hint="eastAsia" w:ascii="仿宋_GB2312" w:eastAsia="仿宋_GB2312" w:cs="宋体"/>
          <w:sz w:val="24"/>
          <w:szCs w:val="24"/>
          <w:highlight w:val="none"/>
          <w:lang w:val="en-US" w:eastAsia="zh-CN"/>
        </w:rPr>
        <w:t>2023年4月26</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3"/>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3"/>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因学校防控要求，校外人员进校需填写《校外人员入校申请表》（附件）。请各投标单位如实填写，并于2023年4月25日12：00前</w:t>
      </w:r>
      <w:r>
        <w:rPr>
          <w:rFonts w:hint="eastAsia" w:ascii="仿宋_GB2312" w:eastAsia="仿宋_GB2312" w:cs="宋体"/>
          <w:sz w:val="24"/>
          <w:szCs w:val="24"/>
          <w:highlight w:val="none"/>
          <w:lang w:val="en-US" w:eastAsia="zh-CN"/>
        </w:rPr>
        <w:t>将</w:t>
      </w:r>
      <w:r>
        <w:rPr>
          <w:rFonts w:hint="eastAsia" w:ascii="仿宋_GB2312" w:eastAsia="仿宋_GB2312" w:cs="宋体"/>
          <w:b/>
          <w:bCs/>
          <w:sz w:val="28"/>
          <w:szCs w:val="28"/>
          <w:highlight w:val="none"/>
          <w:lang w:val="en-US" w:eastAsia="zh-CN"/>
        </w:rPr>
        <w:t>手写签名扫描版</w:t>
      </w:r>
      <w:r>
        <w:rPr>
          <w:rFonts w:hint="eastAsia" w:ascii="仿宋_GB2312" w:eastAsia="仿宋_GB2312" w:cs="宋体"/>
          <w:sz w:val="24"/>
          <w:szCs w:val="24"/>
          <w:lang w:val="en-US" w:eastAsia="zh-CN"/>
        </w:rPr>
        <w:t>传至470242012@qq.com。未按时提交《校外人员入校申请表》的，后果自负。</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3"/>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3"/>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eastAsia" w:ascii="仿宋_GB2312" w:eastAsia="仿宋_GB2312" w:cs="宋体"/>
          <w:sz w:val="24"/>
          <w:szCs w:val="24"/>
          <w:highlight w:val="none"/>
          <w:lang w:val="en-US" w:eastAsia="zh-CN"/>
        </w:rPr>
        <w:t>2023年4月11</w:t>
      </w:r>
      <w:r>
        <w:rPr>
          <w:rFonts w:hint="default" w:ascii="仿宋_GB2312" w:eastAsia="仿宋_GB2312" w:cs="宋体"/>
          <w:sz w:val="24"/>
          <w:szCs w:val="24"/>
          <w:highlight w:val="none"/>
          <w:lang w:val="en-US" w:eastAsia="zh-CN"/>
        </w:rPr>
        <w:t>日</w:t>
      </w:r>
    </w:p>
    <w:bookmarkEnd w:id="160"/>
    <w:p>
      <w:pPr>
        <w:jc w:val="right"/>
        <w:rPr>
          <w:rFonts w:ascii="仿宋_GB2312" w:eastAsia="仿宋_GB2312"/>
          <w:sz w:val="24"/>
          <w:szCs w:val="24"/>
        </w:rPr>
      </w:pPr>
    </w:p>
    <w:p>
      <w:pPr>
        <w:pStyle w:val="6"/>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5"/>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w:t>
            </w:r>
            <w:r>
              <w:rPr>
                <w:rFonts w:hint="eastAsia" w:ascii="宋体" w:hAnsi="宋体" w:cs="宋体"/>
                <w:kern w:val="0"/>
                <w:sz w:val="21"/>
                <w:szCs w:val="21"/>
                <w:lang w:eastAsia="zh-CN"/>
              </w:rPr>
              <w:t>2023-2025学年学生实验服（白大衣）购置项目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
              <w:ind w:left="0" w:leftChars="0" w:firstLine="0" w:firstLineChars="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11000</w:t>
            </w:r>
            <w:r>
              <w:rPr>
                <w:rFonts w:hint="eastAsia" w:ascii="宋体" w:hAnsi="宋体" w:eastAsia="宋体" w:cs="宋体"/>
                <w:kern w:val="0"/>
                <w:sz w:val="21"/>
                <w:szCs w:val="21"/>
              </w:rPr>
              <w:t>元。</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20823275"/>
      <w:bookmarkStart w:id="4" w:name="_Toc403987205"/>
      <w:bookmarkStart w:id="5" w:name="_Toc16938519"/>
      <w:bookmarkStart w:id="6" w:name="_Toc120614214"/>
      <w:bookmarkStart w:id="7" w:name="_Toc513029203"/>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7"/>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7"/>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7"/>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7"/>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20823278"/>
      <w:bookmarkStart w:id="16" w:name="_Toc513029206"/>
      <w:bookmarkStart w:id="17" w:name="_Toc16938522"/>
      <w:r>
        <w:rPr>
          <w:rFonts w:hint="eastAsia" w:ascii="宋体" w:hAnsi="宋体" w:cs="宋体"/>
          <w:sz w:val="24"/>
          <w:szCs w:val="24"/>
        </w:rPr>
        <w:t>4.适用法律</w:t>
      </w:r>
      <w:bookmarkEnd w:id="15"/>
      <w:bookmarkEnd w:id="16"/>
      <w:bookmarkEnd w:id="17"/>
    </w:p>
    <w:p>
      <w:pPr>
        <w:pStyle w:val="37"/>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16938523"/>
      <w:bookmarkStart w:id="19" w:name="_Toc462564067"/>
      <w:bookmarkStart w:id="20" w:name="_Toc513029207"/>
      <w:bookmarkStart w:id="21" w:name="_Toc20823279"/>
      <w:r>
        <w:rPr>
          <w:rFonts w:hint="eastAsia" w:ascii="宋体" w:hAnsi="宋体" w:cs="宋体"/>
          <w:sz w:val="24"/>
          <w:szCs w:val="24"/>
        </w:rPr>
        <w:t>5.磋商费用</w:t>
      </w:r>
      <w:bookmarkEnd w:id="18"/>
      <w:bookmarkEnd w:id="19"/>
      <w:bookmarkEnd w:id="20"/>
      <w:bookmarkEnd w:id="21"/>
    </w:p>
    <w:p>
      <w:pPr>
        <w:pStyle w:val="37"/>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7"/>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7"/>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120614215"/>
      <w:bookmarkStart w:id="23" w:name="_Toc403987206"/>
      <w:bookmarkStart w:id="24" w:name="_Toc16938525"/>
      <w:bookmarkStart w:id="25" w:name="_Toc20823281"/>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20823282"/>
      <w:bookmarkStart w:id="28" w:name="_Toc16938526"/>
      <w:bookmarkStart w:id="29" w:name="_Toc513029210"/>
      <w:r>
        <w:rPr>
          <w:rFonts w:hint="eastAsia" w:ascii="宋体" w:hAnsi="宋体" w:cs="宋体"/>
          <w:sz w:val="24"/>
          <w:szCs w:val="24"/>
        </w:rPr>
        <w:t>1.磋商文件构成</w:t>
      </w:r>
      <w:bookmarkEnd w:id="27"/>
      <w:bookmarkEnd w:id="28"/>
      <w:bookmarkEnd w:id="29"/>
    </w:p>
    <w:p>
      <w:pPr>
        <w:pStyle w:val="37"/>
        <w:snapToGrid w:val="0"/>
        <w:rPr>
          <w:rFonts w:hint="eastAsia" w:hAnsi="宋体" w:eastAsia="宋体"/>
          <w:sz w:val="24"/>
          <w:szCs w:val="24"/>
        </w:rPr>
      </w:pPr>
      <w:r>
        <w:rPr>
          <w:rFonts w:hint="eastAsia" w:hAnsi="宋体" w:eastAsia="宋体"/>
          <w:sz w:val="24"/>
          <w:szCs w:val="24"/>
        </w:rPr>
        <w:t>磋商文件有以下部分组成：</w:t>
      </w:r>
    </w:p>
    <w:p>
      <w:pPr>
        <w:pStyle w:val="37"/>
        <w:snapToGrid w:val="0"/>
        <w:rPr>
          <w:rFonts w:hint="eastAsia" w:hAnsi="宋体" w:eastAsia="宋体"/>
          <w:sz w:val="24"/>
          <w:szCs w:val="24"/>
        </w:rPr>
      </w:pPr>
      <w:r>
        <w:rPr>
          <w:rFonts w:hint="eastAsia" w:hAnsi="宋体" w:eastAsia="宋体"/>
          <w:sz w:val="24"/>
          <w:szCs w:val="24"/>
        </w:rPr>
        <w:t>（1）磋商公告</w:t>
      </w:r>
    </w:p>
    <w:p>
      <w:pPr>
        <w:pStyle w:val="37"/>
        <w:snapToGrid w:val="0"/>
        <w:rPr>
          <w:rFonts w:hint="eastAsia" w:hAnsi="宋体" w:eastAsia="宋体"/>
          <w:sz w:val="24"/>
          <w:szCs w:val="24"/>
        </w:rPr>
      </w:pPr>
      <w:r>
        <w:rPr>
          <w:rFonts w:hint="eastAsia" w:hAnsi="宋体" w:eastAsia="宋体"/>
          <w:sz w:val="24"/>
          <w:szCs w:val="24"/>
        </w:rPr>
        <w:t>（2）磋商须知前附表</w:t>
      </w:r>
    </w:p>
    <w:p>
      <w:pPr>
        <w:pStyle w:val="37"/>
        <w:snapToGrid w:val="0"/>
        <w:rPr>
          <w:rFonts w:hint="eastAsia" w:hAnsi="宋体" w:eastAsia="宋体"/>
          <w:sz w:val="24"/>
          <w:szCs w:val="24"/>
        </w:rPr>
      </w:pPr>
      <w:r>
        <w:rPr>
          <w:rFonts w:hint="eastAsia" w:hAnsi="宋体" w:eastAsia="宋体"/>
          <w:sz w:val="24"/>
          <w:szCs w:val="24"/>
        </w:rPr>
        <w:t>（3）磋商须知</w:t>
      </w:r>
    </w:p>
    <w:p>
      <w:pPr>
        <w:pStyle w:val="37"/>
        <w:snapToGrid w:val="0"/>
        <w:rPr>
          <w:rFonts w:hint="eastAsia" w:hAnsi="宋体" w:eastAsia="宋体"/>
          <w:sz w:val="24"/>
          <w:szCs w:val="24"/>
        </w:rPr>
      </w:pPr>
      <w:r>
        <w:rPr>
          <w:rFonts w:hint="eastAsia" w:hAnsi="宋体" w:eastAsia="宋体"/>
          <w:sz w:val="24"/>
          <w:szCs w:val="24"/>
        </w:rPr>
        <w:t>（4）合同主要条款</w:t>
      </w:r>
    </w:p>
    <w:p>
      <w:pPr>
        <w:pStyle w:val="37"/>
        <w:snapToGrid w:val="0"/>
        <w:rPr>
          <w:rFonts w:hint="eastAsia" w:hAnsi="宋体" w:eastAsia="宋体"/>
          <w:sz w:val="24"/>
          <w:szCs w:val="24"/>
        </w:rPr>
      </w:pPr>
      <w:r>
        <w:rPr>
          <w:rFonts w:hint="eastAsia" w:hAnsi="宋体" w:eastAsia="宋体"/>
          <w:sz w:val="24"/>
          <w:szCs w:val="24"/>
        </w:rPr>
        <w:t>（5）项目需求</w:t>
      </w:r>
    </w:p>
    <w:p>
      <w:pPr>
        <w:pStyle w:val="37"/>
        <w:snapToGrid w:val="0"/>
        <w:rPr>
          <w:rFonts w:hint="eastAsia" w:hAnsi="宋体" w:eastAsia="宋体"/>
          <w:sz w:val="24"/>
          <w:szCs w:val="24"/>
        </w:rPr>
      </w:pPr>
      <w:r>
        <w:rPr>
          <w:rFonts w:hint="eastAsia" w:hAnsi="宋体" w:eastAsia="宋体"/>
          <w:sz w:val="24"/>
          <w:szCs w:val="24"/>
        </w:rPr>
        <w:t>（6）评审标准</w:t>
      </w:r>
    </w:p>
    <w:p>
      <w:pPr>
        <w:pStyle w:val="37"/>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7"/>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37"/>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7"/>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37"/>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7"/>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37"/>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7"/>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7"/>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7"/>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7"/>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7"/>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6"/>
      <w:bookmarkEnd w:id="63"/>
      <w:bookmarkStart w:id="64" w:name="_Hlt26954846"/>
      <w:bookmarkEnd w:id="64"/>
      <w:bookmarkStart w:id="65" w:name="_Hlt26954848"/>
      <w:bookmarkEnd w:id="65"/>
      <w:bookmarkStart w:id="66" w:name="_Hlt26954731"/>
      <w:bookmarkEnd w:id="66"/>
      <w:bookmarkStart w:id="67" w:name="_Hlt26670482"/>
      <w:bookmarkEnd w:id="67"/>
      <w:bookmarkStart w:id="68" w:name="_Toc14577359"/>
      <w:bookmarkStart w:id="69" w:name="_Toc49090510"/>
      <w:r>
        <w:rPr>
          <w:rFonts w:hint="eastAsia" w:ascii="宋体" w:hAnsi="宋体" w:cs="宋体"/>
          <w:sz w:val="24"/>
          <w:szCs w:val="24"/>
        </w:rPr>
        <w:t>8.磋商保证金</w:t>
      </w:r>
      <w:bookmarkEnd w:id="68"/>
      <w:bookmarkEnd w:id="69"/>
    </w:p>
    <w:p>
      <w:pPr>
        <w:pStyle w:val="37"/>
        <w:snapToGrid w:val="0"/>
        <w:rPr>
          <w:rFonts w:hint="eastAsia" w:hAnsi="宋体" w:eastAsia="宋体"/>
          <w:sz w:val="24"/>
          <w:szCs w:val="24"/>
        </w:rPr>
      </w:pPr>
      <w:bookmarkStart w:id="70" w:name="_Hlt26954734"/>
      <w:bookmarkEnd w:id="70"/>
      <w:bookmarkStart w:id="71" w:name="_Hlt26954850"/>
      <w:bookmarkEnd w:id="71"/>
      <w:bookmarkStart w:id="72" w:name="_Hlt26670489"/>
      <w:bookmarkEnd w:id="72"/>
      <w:bookmarkStart w:id="73" w:name="_Toc49090511"/>
      <w:bookmarkStart w:id="74" w:name="_Toc14577360"/>
      <w:r>
        <w:rPr>
          <w:rFonts w:hint="eastAsia" w:hAnsi="宋体" w:eastAsia="宋体"/>
          <w:sz w:val="24"/>
          <w:szCs w:val="24"/>
        </w:rPr>
        <w:t>（1）供应商提交的磋商保证金必须在响应文件提交截止时间前一天下午14：00前到账，并作为其磋商响应的组成部分，否则将被视为非实质性响应而予以拒绝。</w:t>
      </w:r>
    </w:p>
    <w:p>
      <w:pPr>
        <w:pStyle w:val="37"/>
        <w:snapToGrid w:val="0"/>
        <w:rPr>
          <w:rFonts w:hint="eastAsia" w:hAnsi="宋体" w:eastAsia="宋体"/>
          <w:sz w:val="24"/>
          <w:szCs w:val="24"/>
        </w:rPr>
      </w:pPr>
      <w:r>
        <w:rPr>
          <w:rFonts w:hint="eastAsia" w:hAnsi="宋体" w:eastAsia="宋体"/>
          <w:sz w:val="24"/>
          <w:szCs w:val="24"/>
        </w:rPr>
        <w:t>（2）中标单位的磋商保证金，将自动转为履约保证金，不足部分在双方签订合同前交齐。</w:t>
      </w:r>
    </w:p>
    <w:p>
      <w:pPr>
        <w:pStyle w:val="37"/>
        <w:snapToGrid w:val="0"/>
        <w:rPr>
          <w:rFonts w:hint="eastAsia" w:hAnsi="宋体" w:eastAsia="宋体"/>
          <w:sz w:val="24"/>
          <w:szCs w:val="24"/>
        </w:rPr>
      </w:pPr>
      <w:r>
        <w:rPr>
          <w:rFonts w:hint="eastAsia" w:hAnsi="宋体" w:eastAsia="宋体"/>
          <w:sz w:val="24"/>
          <w:szCs w:val="24"/>
        </w:rPr>
        <w:t>（3）未成交供应商的磋商保证金将在成交通知书发出后10个工作日内退还。</w:t>
      </w:r>
    </w:p>
    <w:p>
      <w:pPr>
        <w:pStyle w:val="37"/>
        <w:snapToGrid w:val="0"/>
        <w:rPr>
          <w:rFonts w:hint="eastAsia" w:hAnsi="宋体" w:eastAsia="宋体"/>
          <w:sz w:val="24"/>
          <w:szCs w:val="24"/>
        </w:rPr>
      </w:pPr>
      <w:r>
        <w:rPr>
          <w:rFonts w:hint="eastAsia" w:hAnsi="宋体" w:eastAsia="宋体"/>
          <w:sz w:val="24"/>
          <w:szCs w:val="24"/>
        </w:rPr>
        <w:t xml:space="preserve">（4）有下列情形之一的，磋商保证金不予退还： </w:t>
      </w:r>
    </w:p>
    <w:p>
      <w:pPr>
        <w:pStyle w:val="34"/>
        <w:snapToGrid w:val="0"/>
        <w:ind w:firstLine="480" w:firstLineChars="200"/>
        <w:rPr>
          <w:rFonts w:hint="eastAsia" w:hAnsi="宋体" w:eastAsia="宋体"/>
          <w:sz w:val="24"/>
          <w:szCs w:val="24"/>
        </w:rPr>
      </w:pPr>
      <w:r>
        <w:rPr>
          <w:rFonts w:hint="eastAsia" w:hAnsi="宋体" w:eastAsia="宋体"/>
          <w:sz w:val="24"/>
          <w:szCs w:val="24"/>
        </w:rPr>
        <w:t>1）供应商在提交响应文件截止时间后撤回响应文件的；</w:t>
      </w:r>
    </w:p>
    <w:p>
      <w:pPr>
        <w:pStyle w:val="34"/>
        <w:snapToGrid w:val="0"/>
        <w:ind w:firstLine="480" w:firstLineChars="200"/>
        <w:rPr>
          <w:rFonts w:hint="eastAsia" w:hAnsi="宋体" w:eastAsia="宋体"/>
          <w:sz w:val="24"/>
          <w:szCs w:val="24"/>
        </w:rPr>
      </w:pPr>
      <w:r>
        <w:rPr>
          <w:rFonts w:hint="eastAsia" w:hAnsi="宋体" w:eastAsia="宋体"/>
          <w:sz w:val="24"/>
          <w:szCs w:val="24"/>
        </w:rPr>
        <w:t>2）供应商在响应文件中提供虚假材料的；</w:t>
      </w:r>
    </w:p>
    <w:p>
      <w:pPr>
        <w:pStyle w:val="34"/>
        <w:snapToGrid w:val="0"/>
        <w:ind w:firstLine="480" w:firstLineChars="200"/>
        <w:rPr>
          <w:rFonts w:hint="eastAsia" w:hAnsi="宋体" w:eastAsia="宋体"/>
          <w:sz w:val="24"/>
          <w:szCs w:val="24"/>
        </w:rPr>
      </w:pPr>
      <w:r>
        <w:rPr>
          <w:rFonts w:hint="eastAsia" w:hAnsi="宋体" w:eastAsia="宋体"/>
          <w:sz w:val="24"/>
          <w:szCs w:val="24"/>
        </w:rPr>
        <w:t>3）除因不可抗力或磋商文件认可的情形以外，成交供应商不与采购人签订合同的；</w:t>
      </w:r>
    </w:p>
    <w:p>
      <w:pPr>
        <w:pStyle w:val="34"/>
        <w:snapToGrid w:val="0"/>
        <w:ind w:firstLine="480" w:firstLineChars="200"/>
        <w:rPr>
          <w:rFonts w:hint="eastAsia" w:hAnsi="宋体" w:eastAsia="宋体"/>
          <w:sz w:val="24"/>
          <w:szCs w:val="24"/>
        </w:rPr>
      </w:pPr>
      <w:r>
        <w:rPr>
          <w:rFonts w:hint="eastAsia" w:hAnsi="宋体" w:eastAsia="宋体"/>
          <w:sz w:val="24"/>
          <w:szCs w:val="24"/>
        </w:rPr>
        <w:t>4）供应商与采购人、其他供应商恶意串通的；</w:t>
      </w:r>
    </w:p>
    <w:p>
      <w:pPr>
        <w:pStyle w:val="34"/>
        <w:snapToGrid w:val="0"/>
        <w:ind w:firstLine="480" w:firstLineChars="200"/>
        <w:rPr>
          <w:rFonts w:hint="eastAsia" w:hAnsi="宋体" w:eastAsia="宋体"/>
          <w:sz w:val="24"/>
          <w:szCs w:val="24"/>
        </w:rPr>
      </w:pPr>
      <w:r>
        <w:rPr>
          <w:rFonts w:hint="eastAsia" w:hAnsi="宋体" w:eastAsia="宋体"/>
          <w:sz w:val="24"/>
          <w:szCs w:val="24"/>
        </w:rPr>
        <w:t>5）磋商文件规定的其他情形。</w:t>
      </w:r>
    </w:p>
    <w:bookmarkEnd w:id="73"/>
    <w:bookmarkEnd w:id="74"/>
    <w:p>
      <w:pPr>
        <w:adjustRightInd w:val="0"/>
        <w:snapToGrid w:val="0"/>
        <w:spacing w:line="360" w:lineRule="auto"/>
        <w:ind w:firstLine="480" w:firstLineChars="200"/>
        <w:rPr>
          <w:rFonts w:hint="eastAsia" w:ascii="宋体" w:hAnsi="宋体" w:cs="宋体"/>
          <w:sz w:val="24"/>
          <w:szCs w:val="24"/>
        </w:rPr>
      </w:pPr>
      <w:bookmarkStart w:id="75" w:name="_Hlt26954852"/>
      <w:bookmarkEnd w:id="75"/>
      <w:bookmarkStart w:id="76" w:name="_Hlt26954739"/>
      <w:bookmarkEnd w:id="76"/>
      <w:bookmarkStart w:id="77" w:name="_Toc49090512"/>
      <w:bookmarkStart w:id="78" w:name="_Toc14577361"/>
      <w:r>
        <w:rPr>
          <w:rFonts w:hint="eastAsia" w:ascii="宋体" w:hAnsi="宋体" w:cs="宋体"/>
          <w:sz w:val="24"/>
          <w:szCs w:val="24"/>
        </w:rPr>
        <w:t>9.响应文件份数和签署</w:t>
      </w:r>
      <w:bookmarkEnd w:id="77"/>
      <w:bookmarkEnd w:id="78"/>
    </w:p>
    <w:p>
      <w:pPr>
        <w:pStyle w:val="37"/>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7"/>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7"/>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9" w:name="_Toc16938540"/>
      <w:bookmarkStart w:id="80" w:name="_Toc513029224"/>
      <w:bookmarkStart w:id="81" w:name="_Toc120614217"/>
      <w:bookmarkStart w:id="82" w:name="_Toc20823296"/>
      <w:bookmarkStart w:id="83" w:name="_Toc403987208"/>
      <w:r>
        <w:rPr>
          <w:rFonts w:hint="eastAsia" w:ascii="宋体" w:hAnsi="宋体" w:cs="宋体"/>
          <w:sz w:val="24"/>
          <w:szCs w:val="24"/>
        </w:rPr>
        <w:t>（四）响应文件的递交</w:t>
      </w:r>
      <w:bookmarkEnd w:id="79"/>
      <w:bookmarkEnd w:id="80"/>
      <w:bookmarkEnd w:id="81"/>
      <w:bookmarkEnd w:id="82"/>
      <w:bookmarkEnd w:id="83"/>
    </w:p>
    <w:p>
      <w:pPr>
        <w:adjustRightInd w:val="0"/>
        <w:snapToGrid w:val="0"/>
        <w:spacing w:line="360" w:lineRule="auto"/>
        <w:ind w:firstLine="480" w:firstLineChars="200"/>
        <w:rPr>
          <w:rFonts w:hint="eastAsia" w:ascii="宋体" w:hAnsi="宋体" w:cs="宋体"/>
          <w:sz w:val="24"/>
          <w:szCs w:val="24"/>
        </w:rPr>
      </w:pPr>
      <w:bookmarkStart w:id="84" w:name="_Toc16938541"/>
      <w:bookmarkStart w:id="85" w:name="_Toc462564084"/>
      <w:bookmarkStart w:id="86" w:name="_Toc513029225"/>
      <w:bookmarkStart w:id="87" w:name="_Toc20823297"/>
      <w:r>
        <w:rPr>
          <w:rFonts w:hint="eastAsia" w:ascii="宋体" w:hAnsi="宋体" w:cs="宋体"/>
          <w:sz w:val="24"/>
          <w:szCs w:val="24"/>
        </w:rPr>
        <w:t>1.响应文件的密封和标记</w:t>
      </w:r>
      <w:bookmarkEnd w:id="84"/>
      <w:bookmarkEnd w:id="85"/>
      <w:bookmarkEnd w:id="86"/>
      <w:bookmarkEnd w:id="87"/>
    </w:p>
    <w:p>
      <w:pPr>
        <w:pStyle w:val="37"/>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7"/>
        <w:snapToGrid w:val="0"/>
        <w:rPr>
          <w:rFonts w:hint="eastAsia" w:hAnsi="宋体" w:eastAsia="宋体"/>
          <w:sz w:val="24"/>
          <w:szCs w:val="24"/>
        </w:rPr>
      </w:pPr>
      <w:r>
        <w:rPr>
          <w:rFonts w:hint="eastAsia" w:hAnsi="宋体" w:eastAsia="宋体"/>
          <w:sz w:val="24"/>
          <w:szCs w:val="24"/>
        </w:rPr>
        <w:t>（2）密封的响应文件应：</w:t>
      </w:r>
    </w:p>
    <w:p>
      <w:pPr>
        <w:pStyle w:val="37"/>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7"/>
        <w:snapToGrid w:val="0"/>
        <w:rPr>
          <w:rFonts w:hint="eastAsia" w:hAnsi="宋体" w:eastAsia="宋体"/>
          <w:sz w:val="24"/>
          <w:szCs w:val="24"/>
        </w:rPr>
      </w:pPr>
      <w:r>
        <w:rPr>
          <w:rFonts w:hint="eastAsia" w:hAnsi="宋体" w:eastAsia="宋体"/>
          <w:sz w:val="24"/>
          <w:szCs w:val="24"/>
        </w:rPr>
        <w:t>2）注明磋商项目名称、项目编号。</w:t>
      </w:r>
    </w:p>
    <w:p>
      <w:pPr>
        <w:pStyle w:val="37"/>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8" w:name="_Toc513029226"/>
      <w:bookmarkStart w:id="89" w:name="_Toc16938542"/>
      <w:bookmarkStart w:id="90" w:name="_Toc20823298"/>
      <w:r>
        <w:rPr>
          <w:rFonts w:hint="eastAsia" w:ascii="宋体" w:hAnsi="宋体" w:cs="宋体"/>
          <w:sz w:val="24"/>
          <w:szCs w:val="24"/>
        </w:rPr>
        <w:t>2.响应文件提交截止</w:t>
      </w:r>
      <w:bookmarkEnd w:id="88"/>
      <w:bookmarkEnd w:id="89"/>
      <w:bookmarkEnd w:id="90"/>
      <w:r>
        <w:rPr>
          <w:rFonts w:hint="eastAsia" w:ascii="宋体" w:hAnsi="宋体" w:cs="宋体"/>
          <w:sz w:val="24"/>
          <w:szCs w:val="24"/>
        </w:rPr>
        <w:t>时间</w:t>
      </w:r>
    </w:p>
    <w:p>
      <w:pPr>
        <w:pStyle w:val="37"/>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7"/>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7"/>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7"/>
        <w:snapToGrid w:val="0"/>
        <w:rPr>
          <w:rFonts w:hint="eastAsia"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37"/>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91" w:name="_Toc20823303"/>
      <w:bookmarkStart w:id="92" w:name="_Toc513029231"/>
      <w:bookmarkStart w:id="93" w:name="_Toc16938547"/>
      <w:r>
        <w:rPr>
          <w:rFonts w:hint="eastAsia" w:ascii="宋体" w:hAnsi="宋体" w:cs="宋体"/>
          <w:sz w:val="24"/>
          <w:szCs w:val="24"/>
        </w:rPr>
        <w:t>2.磋商小组</w:t>
      </w:r>
    </w:p>
    <w:p>
      <w:pPr>
        <w:pStyle w:val="37"/>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7"/>
        <w:snapToGrid w:val="0"/>
        <w:rPr>
          <w:rFonts w:hint="eastAsia" w:hAnsi="宋体" w:eastAsia="宋体"/>
          <w:sz w:val="24"/>
          <w:szCs w:val="24"/>
        </w:rPr>
      </w:pPr>
      <w:r>
        <w:rPr>
          <w:rFonts w:hint="eastAsia" w:hAnsi="宋体" w:eastAsia="宋体"/>
          <w:sz w:val="24"/>
          <w:szCs w:val="24"/>
        </w:rPr>
        <w:t>（2）磋商小组将按规定由3人或以上单数组成。</w:t>
      </w:r>
    </w:p>
    <w:bookmarkEnd w:id="91"/>
    <w:bookmarkEnd w:id="92"/>
    <w:bookmarkEnd w:id="93"/>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94" w:name="_Toc16938548"/>
      <w:bookmarkStart w:id="95" w:name="_Toc20823304"/>
      <w:bookmarkStart w:id="96" w:name="_Toc513029232"/>
      <w:r>
        <w:rPr>
          <w:rFonts w:hint="eastAsia" w:ascii="宋体" w:hAnsi="宋体" w:cs="宋体"/>
          <w:sz w:val="24"/>
          <w:szCs w:val="24"/>
        </w:rPr>
        <w:t>4.供应商澄清</w:t>
      </w:r>
      <w:bookmarkEnd w:id="94"/>
      <w:bookmarkEnd w:id="95"/>
      <w:bookmarkEnd w:id="96"/>
    </w:p>
    <w:p>
      <w:pPr>
        <w:adjustRightInd w:val="0"/>
        <w:snapToGrid w:val="0"/>
        <w:spacing w:line="360" w:lineRule="auto"/>
        <w:ind w:firstLine="480" w:firstLineChars="200"/>
        <w:rPr>
          <w:rFonts w:hint="eastAsia" w:ascii="宋体" w:hAnsi="宋体" w:cs="宋体"/>
          <w:sz w:val="24"/>
          <w:szCs w:val="24"/>
        </w:rPr>
      </w:pPr>
      <w:bookmarkStart w:id="97" w:name="_Toc16938549"/>
      <w:bookmarkStart w:id="98" w:name="_Toc20823305"/>
      <w:bookmarkStart w:id="99" w:name="_Toc513029233"/>
      <w:r>
        <w:rPr>
          <w:rFonts w:hint="eastAsia" w:ascii="宋体" w:hAnsi="宋体" w:cs="宋体"/>
          <w:sz w:val="24"/>
          <w:szCs w:val="24"/>
        </w:rPr>
        <w:t>磋商小组要求供应商澄清、说明或者更正响应文件将以书面形式作出。</w:t>
      </w:r>
    </w:p>
    <w:bookmarkEnd w:id="97"/>
    <w:bookmarkEnd w:id="98"/>
    <w:bookmarkEnd w:id="99"/>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（4）已提交响应文件的供应商，在提交最后报价之前，可以根据磋商情况退出磋商。采购人将退还退出磋商的供应商的磋商保证金。</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7"/>
        <w:snapToGrid w:val="0"/>
        <w:rPr>
          <w:rFonts w:hint="eastAsia" w:hAnsi="宋体" w:eastAsia="宋体"/>
          <w:sz w:val="24"/>
          <w:szCs w:val="24"/>
        </w:rPr>
      </w:pPr>
      <w:bookmarkStart w:id="100" w:name="_Toc513029235"/>
      <w:bookmarkStart w:id="101" w:name="_Toc20823307"/>
      <w:bookmarkStart w:id="102" w:name="_Toc16938551"/>
      <w:r>
        <w:rPr>
          <w:rFonts w:hint="eastAsia" w:hAnsi="宋体" w:eastAsia="宋体"/>
          <w:sz w:val="24"/>
          <w:szCs w:val="24"/>
        </w:rPr>
        <w:t>（1）响应无效条款</w:t>
      </w:r>
    </w:p>
    <w:p>
      <w:pPr>
        <w:pStyle w:val="34"/>
        <w:snapToGrid w:val="0"/>
        <w:ind w:firstLine="480" w:firstLineChars="200"/>
        <w:rPr>
          <w:rFonts w:hint="eastAsia" w:hAnsi="宋体" w:eastAsia="宋体"/>
          <w:sz w:val="24"/>
          <w:szCs w:val="24"/>
        </w:rPr>
      </w:pPr>
      <w:r>
        <w:rPr>
          <w:rFonts w:hint="eastAsia" w:hAnsi="宋体" w:eastAsia="宋体"/>
          <w:sz w:val="24"/>
          <w:szCs w:val="24"/>
        </w:rPr>
        <w:t>1）未按要求交纳磋商保证金的；</w:t>
      </w:r>
    </w:p>
    <w:p>
      <w:pPr>
        <w:pStyle w:val="34"/>
        <w:snapToGrid w:val="0"/>
        <w:ind w:firstLine="480" w:firstLineChars="200"/>
        <w:rPr>
          <w:rFonts w:hint="eastAsia" w:hAnsi="宋体" w:eastAsia="宋体"/>
          <w:sz w:val="24"/>
          <w:szCs w:val="24"/>
        </w:rPr>
      </w:pPr>
      <w:r>
        <w:rPr>
          <w:rFonts w:hint="eastAsia" w:hAnsi="宋体" w:eastAsia="宋体"/>
          <w:sz w:val="24"/>
          <w:szCs w:val="24"/>
        </w:rPr>
        <w:t>2）未按照磋商文件规定要求密封、签署、盖章的；</w:t>
      </w:r>
    </w:p>
    <w:p>
      <w:pPr>
        <w:pStyle w:val="34"/>
        <w:snapToGrid w:val="0"/>
        <w:ind w:firstLine="480" w:firstLineChars="200"/>
        <w:rPr>
          <w:rFonts w:hint="eastAsia" w:hAnsi="宋体" w:eastAsia="宋体"/>
          <w:sz w:val="24"/>
          <w:szCs w:val="24"/>
        </w:rPr>
      </w:pPr>
      <w:r>
        <w:rPr>
          <w:rFonts w:hint="eastAsia" w:hAnsi="宋体" w:eastAsia="宋体"/>
          <w:sz w:val="24"/>
          <w:szCs w:val="24"/>
        </w:rPr>
        <w:t>3）供应商不具备磋商文件中规定资格条件的；</w:t>
      </w:r>
    </w:p>
    <w:p>
      <w:pPr>
        <w:pStyle w:val="34"/>
        <w:snapToGrid w:val="0"/>
        <w:ind w:firstLine="480" w:firstLineChars="200"/>
        <w:rPr>
          <w:rFonts w:hint="eastAsia" w:hAnsi="宋体" w:eastAsia="宋体"/>
          <w:sz w:val="24"/>
          <w:szCs w:val="24"/>
        </w:rPr>
      </w:pPr>
      <w:r>
        <w:rPr>
          <w:rFonts w:hint="eastAsia" w:hAnsi="宋体" w:eastAsia="宋体"/>
          <w:sz w:val="24"/>
          <w:szCs w:val="24"/>
        </w:rPr>
        <w:t>4）不符合法律、法规和磋商文件中规定的其他实质性要求的（本磋商文件中斜体且有下划线部分为实质性要求和条件）；</w:t>
      </w:r>
    </w:p>
    <w:p>
      <w:pPr>
        <w:pStyle w:val="34"/>
        <w:snapToGrid w:val="0"/>
        <w:ind w:firstLine="480" w:firstLineChars="200"/>
        <w:rPr>
          <w:rFonts w:hint="eastAsia" w:hAnsi="宋体" w:eastAsia="宋体"/>
          <w:sz w:val="24"/>
          <w:szCs w:val="24"/>
        </w:rPr>
      </w:pPr>
      <w:r>
        <w:rPr>
          <w:rFonts w:hint="eastAsia" w:hAnsi="宋体" w:eastAsia="宋体"/>
          <w:sz w:val="24"/>
          <w:szCs w:val="24"/>
        </w:rPr>
        <w:t>5）其他法律、法规及本磋商文件规定的属响应无效的情形。</w:t>
      </w:r>
    </w:p>
    <w:p>
      <w:pPr>
        <w:pStyle w:val="37"/>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4"/>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4"/>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16938554"/>
      <w:bookmarkStart w:id="104" w:name="_Toc20823310"/>
      <w:r>
        <w:rPr>
          <w:rFonts w:hint="eastAsia" w:ascii="宋体" w:hAnsi="宋体" w:cs="宋体"/>
          <w:sz w:val="24"/>
          <w:szCs w:val="24"/>
        </w:rPr>
        <w:t>8.确定</w:t>
      </w:r>
      <w:bookmarkEnd w:id="103"/>
      <w:bookmarkEnd w:id="104"/>
      <w:r>
        <w:rPr>
          <w:rFonts w:hint="eastAsia" w:ascii="宋体" w:hAnsi="宋体" w:cs="宋体"/>
          <w:sz w:val="24"/>
          <w:szCs w:val="24"/>
        </w:rPr>
        <w:t>成交供应商</w:t>
      </w:r>
    </w:p>
    <w:p>
      <w:pPr>
        <w:pStyle w:val="37"/>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7"/>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105" w:name="_Toc403987211"/>
      <w:bookmarkStart w:id="106" w:name="_Toc120614220"/>
      <w:bookmarkStart w:id="107" w:name="_Toc513029236"/>
      <w:bookmarkStart w:id="108" w:name="_Toc20823308"/>
      <w:bookmarkStart w:id="109" w:name="_Toc16938552"/>
      <w:r>
        <w:rPr>
          <w:rFonts w:hint="eastAsia" w:ascii="宋体" w:hAnsi="宋体" w:cs="宋体"/>
          <w:sz w:val="24"/>
          <w:szCs w:val="24"/>
        </w:rPr>
        <w:t>（六）授予合同</w:t>
      </w:r>
      <w:bookmarkEnd w:id="105"/>
      <w:bookmarkEnd w:id="106"/>
    </w:p>
    <w:bookmarkEnd w:id="107"/>
    <w:bookmarkEnd w:id="108"/>
    <w:bookmarkEnd w:id="109"/>
    <w:p>
      <w:pPr>
        <w:adjustRightInd w:val="0"/>
        <w:snapToGrid w:val="0"/>
        <w:spacing w:line="360" w:lineRule="auto"/>
        <w:ind w:firstLine="480" w:firstLineChars="200"/>
        <w:rPr>
          <w:rFonts w:hint="eastAsia" w:ascii="宋体" w:hAnsi="宋体" w:cs="宋体"/>
          <w:sz w:val="24"/>
          <w:szCs w:val="24"/>
        </w:rPr>
      </w:pPr>
      <w:bookmarkStart w:id="110" w:name="_Toc513029237"/>
      <w:bookmarkStart w:id="111" w:name="_Toc16938553"/>
      <w:bookmarkStart w:id="112" w:name="_Toc20823309"/>
      <w:r>
        <w:rPr>
          <w:rFonts w:hint="eastAsia" w:ascii="宋体" w:hAnsi="宋体" w:cs="宋体"/>
          <w:sz w:val="24"/>
          <w:szCs w:val="24"/>
        </w:rPr>
        <w:t>1.签订合同</w:t>
      </w:r>
    </w:p>
    <w:p>
      <w:pPr>
        <w:pStyle w:val="37"/>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7"/>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7"/>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7"/>
        <w:snapToGrid w:val="0"/>
        <w:rPr>
          <w:rFonts w:hint="eastAsia" w:hAnsi="宋体" w:eastAsia="宋体"/>
          <w:sz w:val="24"/>
          <w:szCs w:val="24"/>
        </w:rPr>
      </w:pPr>
      <w:r>
        <w:rPr>
          <w:rFonts w:hint="eastAsia" w:hAnsi="宋体" w:eastAsia="宋体"/>
          <w:sz w:val="24"/>
          <w:szCs w:val="24"/>
        </w:rPr>
        <w:t>（1）中标单位在收到成交通知书后，磋商保证金将自动转为履约保证金</w:t>
      </w:r>
      <w:bookmarkStart w:id="113" w:name="_Toc200451963"/>
      <w:r>
        <w:rPr>
          <w:rFonts w:hint="eastAsia" w:hAnsi="宋体" w:eastAsia="宋体"/>
          <w:sz w:val="24"/>
          <w:szCs w:val="24"/>
        </w:rPr>
        <w:t>，不足部分在双方签订合同前交齐。</w:t>
      </w:r>
    </w:p>
    <w:bookmarkEnd w:id="113"/>
    <w:p>
      <w:pPr>
        <w:pStyle w:val="37"/>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10"/>
      <w:bookmarkEnd w:id="111"/>
      <w:bookmarkEnd w:id="112"/>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6"/>
        <w:numPr>
          <w:ilvl w:val="0"/>
          <w:numId w:val="2"/>
        </w:numPr>
        <w:snapToGrid w:val="0"/>
        <w:spacing w:before="0" w:after="0"/>
        <w:ind w:left="947" w:hanging="947"/>
        <w:jc w:val="center"/>
        <w:rPr>
          <w:rFonts w:hint="eastAsia"/>
        </w:rPr>
      </w:pPr>
      <w:bookmarkStart w:id="114" w:name="_Toc49763002"/>
      <w:r>
        <w:rPr>
          <w:rFonts w:hint="eastAsia" w:ascii="华文中宋" w:hAnsi="华文中宋" w:eastAsia="华文中宋"/>
          <w:bCs w:val="0"/>
          <w:color w:val="auto"/>
          <w:highlight w:val="none"/>
        </w:rPr>
        <w:t xml:space="preserve"> 合同主要条款</w:t>
      </w:r>
      <w:bookmarkEnd w:id="114"/>
    </w:p>
    <w:p>
      <w:pPr>
        <w:jc w:val="center"/>
        <w:rPr>
          <w:rFonts w:hint="eastAsia" w:ascii="宋体" w:hAnsi="宋体" w:eastAsia="宋体"/>
          <w:b/>
          <w:sz w:val="44"/>
          <w:szCs w:val="44"/>
        </w:rPr>
      </w:pPr>
      <w:r>
        <w:rPr>
          <w:rFonts w:hint="eastAsia" w:ascii="宋体" w:hAnsi="宋体" w:eastAsia="宋体"/>
          <w:b/>
          <w:sz w:val="44"/>
          <w:szCs w:val="44"/>
        </w:rPr>
        <w:t>皖南医学院采购项目合同（货物类）</w:t>
      </w:r>
    </w:p>
    <w:p>
      <w:pPr>
        <w:jc w:val="center"/>
        <w:rPr>
          <w:rFonts w:hint="eastAsia" w:ascii="Arial" w:hAnsi="Arial"/>
          <w:sz w:val="36"/>
          <w:szCs w:val="36"/>
        </w:rPr>
      </w:pPr>
      <w:r>
        <w:rPr>
          <w:rFonts w:hint="eastAsia" w:ascii="Arial" w:hAnsi="Arial"/>
          <w:sz w:val="36"/>
          <w:szCs w:val="36"/>
        </w:rPr>
        <w:t>（标准模板）</w:t>
      </w:r>
    </w:p>
    <w:p>
      <w:pPr>
        <w:adjustRightInd w:val="0"/>
        <w:snapToGrid w:val="0"/>
        <w:spacing w:line="360" w:lineRule="auto"/>
        <w:jc w:val="right"/>
        <w:rPr>
          <w:rFonts w:hint="eastAsia" w:ascii="仿宋_GB2312" w:hAnsi="宋体" w:eastAsia="仿宋_GB2312" w:cs="宋体"/>
          <w:b w:val="0"/>
          <w:bCs w:val="0"/>
          <w:color w:val="000000"/>
          <w:kern w:val="36"/>
          <w:sz w:val="28"/>
          <w:szCs w:val="28"/>
          <w:lang w:val="en-US" w:eastAsia="zh-CN"/>
        </w:rPr>
      </w:pPr>
      <w:r>
        <w:rPr>
          <w:rFonts w:hint="eastAsia" w:ascii="仿宋_GB2312" w:hAnsi="宋体" w:eastAsia="仿宋_GB2312" w:cs="宋体"/>
          <w:b w:val="0"/>
          <w:bCs w:val="0"/>
          <w:color w:val="000000"/>
          <w:kern w:val="36"/>
          <w:sz w:val="28"/>
          <w:szCs w:val="28"/>
          <w:lang w:val="en-US" w:eastAsia="zh-CN"/>
        </w:rPr>
        <w:t>合同编号：WYGZ2023010-1</w:t>
      </w:r>
    </w:p>
    <w:p>
      <w:pPr>
        <w:adjustRightInd w:val="0"/>
        <w:snapToGrid w:val="0"/>
        <w:spacing w:line="360" w:lineRule="auto"/>
        <w:jc w:val="right"/>
        <w:rPr>
          <w:rFonts w:hint="default" w:ascii="仿宋_GB2312" w:hAnsi="宋体" w:eastAsia="仿宋_GB2312" w:cs="宋体"/>
          <w:b w:val="0"/>
          <w:bCs w:val="0"/>
          <w:color w:val="000000"/>
          <w:kern w:val="36"/>
          <w:sz w:val="28"/>
          <w:szCs w:val="28"/>
          <w:lang w:val="en-US" w:eastAsia="zh-CN"/>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  方：皖南医学院                        电话：</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  方：                                  电话：</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买方通过</w:t>
      </w:r>
      <w:r>
        <w:rPr>
          <w:rFonts w:hint="eastAsia" w:ascii="仿宋_GB2312" w:hAnsi="宋体" w:eastAsia="仿宋_GB2312" w:cs="宋体"/>
          <w:b w:val="0"/>
          <w:bCs w:val="0"/>
          <w:color w:val="000000"/>
          <w:kern w:val="36"/>
          <w:sz w:val="28"/>
          <w:szCs w:val="28"/>
          <w:u w:val="single"/>
        </w:rPr>
        <w:t xml:space="preserve">       </w:t>
      </w:r>
      <w:r>
        <w:rPr>
          <w:rFonts w:hint="eastAsia" w:ascii="仿宋_GB2312" w:hAnsi="宋体" w:eastAsia="仿宋_GB2312" w:cs="宋体"/>
          <w:b w:val="0"/>
          <w:bCs w:val="0"/>
          <w:color w:val="000000"/>
          <w:kern w:val="36"/>
          <w:sz w:val="28"/>
          <w:szCs w:val="28"/>
        </w:rPr>
        <w:t>组织的采购活动，经批准，决定将本项目采购合同授予卖方。为进一步明确双方的责任，确保合同的顺利履行，根据《中华人民共和国合同法》及有关法律规定，遵循平等、自愿、公平和诚实信用的原则，买卖双方协商一致同意按如下条款签订本合同：</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bCs/>
          <w:color w:val="000000"/>
          <w:kern w:val="36"/>
          <w:sz w:val="28"/>
          <w:szCs w:val="28"/>
        </w:rPr>
        <w:t>一、货物的名称、规格型号、数量和价格（若产品过多则见附表，如有附表则必须加盖公章）</w:t>
      </w:r>
      <w:r>
        <w:rPr>
          <w:rFonts w:hint="eastAsia" w:ascii="仿宋_GB2312" w:hAnsi="宋体" w:eastAsia="仿宋_GB2312" w:cs="宋体"/>
          <w:b w:val="0"/>
          <w:bCs w:val="0"/>
          <w:color w:val="000000"/>
          <w:kern w:val="36"/>
          <w:sz w:val="28"/>
          <w:szCs w:val="28"/>
        </w:rPr>
        <w:t xml:space="preserve">  </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单位：元</w:t>
      </w:r>
    </w:p>
    <w:tbl>
      <w:tblPr>
        <w:tblStyle w:val="2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616"/>
        <w:gridCol w:w="610"/>
        <w:gridCol w:w="610"/>
        <w:gridCol w:w="1476"/>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产品名称</w:t>
            </w:r>
          </w:p>
        </w:tc>
        <w:tc>
          <w:tcPr>
            <w:tcW w:w="161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规格型号</w:t>
            </w:r>
          </w:p>
        </w:tc>
        <w:tc>
          <w:tcPr>
            <w:tcW w:w="610"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单位</w:t>
            </w:r>
          </w:p>
        </w:tc>
        <w:tc>
          <w:tcPr>
            <w:tcW w:w="610"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数量</w:t>
            </w:r>
          </w:p>
        </w:tc>
        <w:tc>
          <w:tcPr>
            <w:tcW w:w="147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单价</w:t>
            </w:r>
          </w:p>
        </w:tc>
        <w:tc>
          <w:tcPr>
            <w:tcW w:w="147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小计</w:t>
            </w:r>
          </w:p>
        </w:tc>
        <w:tc>
          <w:tcPr>
            <w:tcW w:w="1476" w:type="dxa"/>
            <w:noWrap w:val="0"/>
            <w:vAlign w:val="center"/>
          </w:tcPr>
          <w:p>
            <w:pPr>
              <w:adjustRightInd w:val="0"/>
              <w:snapToGrid w:val="0"/>
              <w:jc w:val="center"/>
              <w:rPr>
                <w:rFonts w:hint="eastAsia" w:ascii="仿宋" w:hAnsi="仿宋" w:eastAsia="仿宋"/>
                <w:szCs w:val="28"/>
              </w:rPr>
            </w:pPr>
            <w:r>
              <w:rPr>
                <w:rFonts w:hint="eastAsia" w:ascii="仿宋" w:hAnsi="仿宋" w:eastAsia="仿宋"/>
                <w:szCs w:val="28"/>
              </w:rPr>
              <w:t>生产</w:t>
            </w:r>
          </w:p>
          <w:p>
            <w:pPr>
              <w:adjustRightInd w:val="0"/>
              <w:snapToGrid w:val="0"/>
              <w:jc w:val="center"/>
              <w:rPr>
                <w:rFonts w:hint="eastAsia" w:ascii="仿宋" w:hAnsi="仿宋" w:eastAsia="仿宋"/>
                <w:szCs w:val="28"/>
              </w:rPr>
            </w:pPr>
            <w:r>
              <w:rPr>
                <w:rFonts w:hint="eastAsia" w:ascii="仿宋" w:hAnsi="仿宋" w:eastAsia="仿宋"/>
                <w:szCs w:val="28"/>
              </w:rPr>
              <w:t>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56" w:type="dxa"/>
            <w:noWrap w:val="0"/>
            <w:vAlign w:val="center"/>
          </w:tcPr>
          <w:p>
            <w:pPr>
              <w:jc w:val="center"/>
              <w:rPr>
                <w:rFonts w:ascii="宋体" w:hAnsi="宋体"/>
                <w:color w:val="000000"/>
                <w:szCs w:val="21"/>
              </w:rPr>
            </w:pPr>
          </w:p>
        </w:tc>
        <w:tc>
          <w:tcPr>
            <w:tcW w:w="1616" w:type="dxa"/>
            <w:noWrap w:val="0"/>
            <w:vAlign w:val="center"/>
          </w:tcPr>
          <w:p>
            <w:pPr>
              <w:jc w:val="center"/>
              <w:rPr>
                <w:rFonts w:ascii="宋体" w:hAnsi="宋体"/>
                <w:color w:val="000000"/>
                <w:szCs w:val="21"/>
                <w:highlight w:val="white"/>
              </w:rPr>
            </w:pPr>
          </w:p>
        </w:tc>
        <w:tc>
          <w:tcPr>
            <w:tcW w:w="610" w:type="dxa"/>
            <w:noWrap w:val="0"/>
            <w:vAlign w:val="center"/>
          </w:tcPr>
          <w:p>
            <w:pPr>
              <w:jc w:val="center"/>
              <w:rPr>
                <w:rFonts w:ascii="宋体" w:hAnsi="宋体"/>
                <w:color w:val="000000"/>
                <w:szCs w:val="21"/>
              </w:rPr>
            </w:pPr>
          </w:p>
        </w:tc>
        <w:tc>
          <w:tcPr>
            <w:tcW w:w="610"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68" w:type="dxa"/>
            <w:gridSpan w:val="5"/>
            <w:noWrap w:val="0"/>
            <w:vAlign w:val="top"/>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合计</w:t>
            </w:r>
          </w:p>
        </w:tc>
        <w:tc>
          <w:tcPr>
            <w:tcW w:w="2952" w:type="dxa"/>
            <w:gridSpan w:val="2"/>
            <w:noWrap w:val="0"/>
            <w:vAlign w:val="top"/>
          </w:tcPr>
          <w:p>
            <w:pPr>
              <w:spacing w:before="100" w:beforeLines="50" w:beforeAutospacing="1" w:after="100" w:afterLines="30" w:afterAutospacing="1" w:line="360" w:lineRule="auto"/>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820" w:type="dxa"/>
            <w:gridSpan w:val="7"/>
            <w:noWrap w:val="0"/>
            <w:vAlign w:val="top"/>
          </w:tcPr>
          <w:p>
            <w:pPr>
              <w:spacing w:before="100" w:beforeLines="50" w:beforeAutospacing="1" w:after="100" w:afterLines="30" w:afterAutospacing="1" w:line="360" w:lineRule="auto"/>
              <w:rPr>
                <w:rFonts w:hint="eastAsia" w:ascii="仿宋" w:hAnsi="仿宋" w:eastAsia="仿宋"/>
                <w:szCs w:val="28"/>
              </w:rPr>
            </w:pPr>
            <w:r>
              <w:rPr>
                <w:rFonts w:hint="eastAsia" w:ascii="仿宋" w:hAnsi="仿宋" w:eastAsia="仿宋"/>
                <w:szCs w:val="28"/>
              </w:rPr>
              <w:t>合同总金额（大写）：</w:t>
            </w:r>
          </w:p>
          <w:p>
            <w:pPr>
              <w:spacing w:before="100" w:beforeLines="50" w:beforeAutospacing="1" w:after="100" w:afterLines="30" w:afterAutospacing="1" w:line="360" w:lineRule="auto"/>
              <w:rPr>
                <w:rFonts w:hint="eastAsia" w:ascii="仿宋" w:hAnsi="仿宋" w:eastAsia="仿宋"/>
                <w:szCs w:val="28"/>
              </w:rPr>
            </w:pPr>
            <w:r>
              <w:rPr>
                <w:rFonts w:hint="eastAsia" w:ascii="仿宋" w:hAnsi="仿宋" w:eastAsia="仿宋"/>
                <w:szCs w:val="28"/>
              </w:rPr>
              <w:t>备注：上述（含附表）产品报价含产品生产、运输&lt;送达至买方指定地点并下货&gt;、</w:t>
            </w:r>
            <w:r>
              <w:rPr>
                <w:rFonts w:hint="eastAsia" w:ascii="仿宋" w:hAnsi="仿宋" w:eastAsia="仿宋"/>
                <w:color w:val="00B0F0"/>
                <w:szCs w:val="28"/>
              </w:rPr>
              <w:t>安装</w:t>
            </w:r>
            <w:r>
              <w:rPr>
                <w:rFonts w:hint="eastAsia" w:ascii="仿宋" w:hAnsi="仿宋" w:eastAsia="仿宋"/>
                <w:szCs w:val="28"/>
              </w:rPr>
              <w:t>、调试、检验及售后服务、税金、劳保基金等费用。</w:t>
            </w:r>
          </w:p>
        </w:tc>
      </w:tr>
    </w:tbl>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bCs/>
          <w:color w:val="000000"/>
          <w:kern w:val="36"/>
          <w:sz w:val="28"/>
          <w:szCs w:val="28"/>
        </w:rPr>
        <w:t>二、组成合同的文件</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组成本合同的文件包括：</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(一)采购文件及答疑、更正公告;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(二)采购文件标准文本中的“合同条款”；</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(三)中标或成交公告；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(四)卖方提交的投标文件及书面承诺函；</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(五)双方另行签订的补充协议。</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三、 本合同的总金额为¥</w:t>
      </w:r>
      <w:r>
        <w:rPr>
          <w:rFonts w:hint="eastAsia" w:ascii="仿宋_GB2312" w:hAnsi="宋体" w:eastAsia="仿宋_GB2312" w:cs="宋体"/>
          <w:b/>
          <w:bCs/>
          <w:color w:val="000000"/>
          <w:kern w:val="36"/>
          <w:sz w:val="28"/>
          <w:szCs w:val="28"/>
          <w:u w:val="single"/>
        </w:rPr>
        <w:t xml:space="preserve">       </w:t>
      </w:r>
      <w:r>
        <w:rPr>
          <w:rFonts w:hint="eastAsia" w:ascii="仿宋_GB2312" w:hAnsi="宋体" w:eastAsia="仿宋_GB2312" w:cs="宋体"/>
          <w:b/>
          <w:bCs/>
          <w:color w:val="000000"/>
          <w:kern w:val="36"/>
          <w:sz w:val="28"/>
          <w:szCs w:val="28"/>
        </w:rPr>
        <w:t>元(人民币大写：</w:t>
      </w:r>
      <w:r>
        <w:rPr>
          <w:rFonts w:hint="eastAsia" w:ascii="仿宋_GB2312" w:hAnsi="宋体" w:eastAsia="仿宋_GB2312" w:cs="宋体"/>
          <w:b/>
          <w:bCs/>
          <w:color w:val="000000"/>
          <w:kern w:val="36"/>
          <w:sz w:val="28"/>
          <w:szCs w:val="28"/>
          <w:u w:val="single"/>
        </w:rPr>
        <w:t xml:space="preserve">           </w:t>
      </w:r>
      <w:r>
        <w:rPr>
          <w:rFonts w:hint="eastAsia" w:ascii="仿宋_GB2312" w:hAnsi="宋体" w:eastAsia="仿宋_GB2312" w:cs="宋体"/>
          <w:b/>
          <w:bCs/>
          <w:color w:val="000000"/>
          <w:kern w:val="36"/>
          <w:sz w:val="28"/>
          <w:szCs w:val="28"/>
        </w:rPr>
        <w:t>)。</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四、供货期限</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卖方应于合同签字生效后开始计算的   日内将货物送到买方指定的地点，由买方进行验收。</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货物运输至买方指定地点到货物验收合格前，  卖方 负责对货物承担安保义务。</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bCs/>
          <w:color w:val="000000"/>
          <w:kern w:val="36"/>
          <w:sz w:val="28"/>
          <w:szCs w:val="28"/>
        </w:rPr>
        <w:t>五、验收要求</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（一）质量标准</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（二）验收组织</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买方负责组织验收工作，大型或者复杂的政府采购项目，必须邀请国家认可的质量检测机构参加验收工作。</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（三）验收程序</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由买方组织验收。</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六、付款方式</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可编辑</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七、售后服务</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（一）卖方对合同货物的质量保修期为验收证书签署之日起 36个月。</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（二）卖方在合同货物的质量保修期内，免费为买方提供合同货物的技术指导和维修服务服务的时间是：每周 5天8小时（工作时间）。</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（三）卖方保证在合同货物出现故障和缺陷时，或接到买方提出的技术服务要求后 48 小时内予以答复，如买方有要求或必要时，卖方应在接到买方通知后 48 小时内派员至买方免费维修和提供现场指导。</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（四）如卖方在接到买方维修通知后 72 小时仍不能修复有关货物，卖方应提供与该货物同一型号的备用货物。</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如卖方在接到买方提出的技术服务要求或维修通知后48小时内没有响应、拒绝或没有派员到达买方提供技术服务、修理或退换货物，买方有权委托第三方对合同货物进行维修或提供技术服务，因此产生的相关费用由卖方承担。</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（六）在合同货物保修期届满后，如果因合同货物硬件或软件的固有缺陷和瑕疵出现紧急故障和事故，卖方应在接到买方通知之后 48 小时内到达现场。</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八、违约责任</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（一）卖方供货期超过合同约定供货期限。如果卖方由于自身的原因未能按期履行完合同，买方可从履约保证金中获得经济上的赔偿。其标准为按每延期一周收取合同金额的 0.5 %，但误期赔偿费总额不得超过履约保证金总额。一周按7天计算，不足7天按一周计算。在此情况下，卖方不得要求买方退还其履约保证金。</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三）卖方交货不符合合同质量标准，卖方必须重新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卖方将合同转包，提供假冒伪劣产品，擅自变更、中止或者终止合同的，买方有权终止合同，没收履约保证金，并提请政府采购监管部门对卖方进行采购金额千分之五的罚款，列入不良行为记录名单，在一至三年内禁止参加政府采购活动。</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（五）买方未能按时组织验收，由财政部门责令限期改正，给予警告，对直接负责的主管人员和其他直接责任人员，由其行政主管部门给予处分，并予通报。</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(六)买方违反合同规定拒绝接收货物的，应当承担由此造成的损失。</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（七）验收合格后，买方未能按时提请付款，由财政部门责令限期改正，给予警告。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（八）买方擅自变更、中止或者终止合同，由财政部门责令限期改正，给予警告，对直接负责的主管人员和其他直接责任人员，由其行政主管部门给予处分，并予通报。</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九、签约地点</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本合同在</w:t>
      </w:r>
      <w:r>
        <w:rPr>
          <w:rFonts w:hint="eastAsia" w:ascii="仿宋_GB2312" w:hAnsi="宋体" w:eastAsia="仿宋_GB2312" w:cs="宋体"/>
          <w:b w:val="0"/>
          <w:bCs w:val="0"/>
          <w:color w:val="000000"/>
          <w:kern w:val="36"/>
          <w:sz w:val="28"/>
          <w:szCs w:val="28"/>
          <w:u w:val="single"/>
        </w:rPr>
        <w:t xml:space="preserve"> 皖南医学院</w:t>
      </w:r>
      <w:r>
        <w:rPr>
          <w:rFonts w:hint="eastAsia" w:ascii="仿宋_GB2312" w:hAnsi="宋体" w:eastAsia="仿宋_GB2312" w:cs="宋体"/>
          <w:b w:val="0"/>
          <w:bCs w:val="0"/>
          <w:color w:val="000000"/>
          <w:kern w:val="36"/>
          <w:sz w:val="28"/>
          <w:szCs w:val="28"/>
        </w:rPr>
        <w:t>签订。</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十、合同的终止</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（一）本合同因下列原因而终止：</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1、本合同正常履行完毕；</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2、合同双方协议终止本合同的履行；</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3、不可抗力事件导致本合同无法履行或履行不必要；</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4、符合本合同约定的其他终止合同的条款。</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（二）对本合同终止有过错的一方应赔偿另一方因合同终止而受到的损失。对合同终止双方均无过错的，则各自承担所受到的损失。</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十一、其他</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（一）买卖双方必须严格按照采购文件、投标文件及有关承诺签订采购合同，不得擅自变更。合同执行期内，买卖双方均不得随意变更或解除合同。</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（二）本合同执行期间，如遇不可抗力，致使合同无法履行时，买卖双方应按有关法律规定及时协商处理。</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（三）合同未尽事宜，买卖双方另行签订补充协议，补充协议是合同的组成部分。</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（四）本合同如发生纠纷，买卖双方应当及时协商解决，协商不成时，按以下第（2）项方式处理：（1）根据《中华人民共和国仲裁法》的规定向</w:t>
      </w:r>
      <w:r>
        <w:rPr>
          <w:rFonts w:hint="eastAsia" w:ascii="仿宋_GB2312" w:hAnsi="宋体" w:eastAsia="仿宋_GB2312" w:cs="宋体"/>
          <w:b w:val="0"/>
          <w:bCs w:val="0"/>
          <w:color w:val="000000"/>
          <w:kern w:val="36"/>
          <w:sz w:val="28"/>
          <w:szCs w:val="28"/>
          <w:u w:val="single"/>
        </w:rPr>
        <w:t xml:space="preserve">           </w:t>
      </w:r>
      <w:r>
        <w:rPr>
          <w:rFonts w:hint="eastAsia" w:ascii="仿宋_GB2312" w:hAnsi="宋体" w:eastAsia="仿宋_GB2312" w:cs="宋体"/>
          <w:b w:val="0"/>
          <w:bCs w:val="0"/>
          <w:color w:val="000000"/>
          <w:kern w:val="36"/>
          <w:sz w:val="28"/>
          <w:szCs w:val="28"/>
        </w:rPr>
        <w:t xml:space="preserve"> 申请仲裁。（2）向 </w:t>
      </w:r>
      <w:r>
        <w:rPr>
          <w:rFonts w:hint="eastAsia" w:ascii="仿宋_GB2312" w:hAnsi="宋体" w:eastAsia="仿宋_GB2312" w:cs="宋体"/>
          <w:b w:val="0"/>
          <w:bCs w:val="0"/>
          <w:color w:val="000000"/>
          <w:kern w:val="36"/>
          <w:sz w:val="28"/>
          <w:szCs w:val="28"/>
          <w:u w:val="single"/>
        </w:rPr>
        <w:t xml:space="preserve"> 买方所在地 </w:t>
      </w:r>
      <w:r>
        <w:rPr>
          <w:rFonts w:hint="eastAsia" w:ascii="仿宋_GB2312" w:hAnsi="宋体" w:eastAsia="仿宋_GB2312" w:cs="宋体"/>
          <w:b w:val="0"/>
          <w:bCs w:val="0"/>
          <w:color w:val="000000"/>
          <w:kern w:val="36"/>
          <w:sz w:val="28"/>
          <w:szCs w:val="28"/>
        </w:rPr>
        <w:t>人民法院起诉。</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 xml:space="preserve">  本合同一式陆份，自买卖双方法定代表人或委托代理人和见证方签字加盖单位公章后生效。</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 方： 皖南医学院                 卖 方：</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单位盖章：                         单位盖章：</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法定代表人或委托代理人：           法定代表人或委托代理人：</w:t>
      </w:r>
    </w:p>
    <w:p>
      <w:pPr>
        <w:rPr>
          <w:rFonts w:hint="eastAsia" w:ascii="华文中宋" w:hAnsi="华文中宋" w:eastAsia="华文中宋"/>
          <w:bCs/>
          <w:color w:val="auto"/>
          <w:highlight w:val="none"/>
        </w:rPr>
      </w:pPr>
      <w:r>
        <w:rPr>
          <w:rFonts w:hint="eastAsia" w:ascii="仿宋_GB2312" w:hAnsi="宋体" w:eastAsia="仿宋_GB2312" w:cs="宋体"/>
          <w:b w:val="0"/>
          <w:bCs w:val="0"/>
          <w:color w:val="000000"/>
          <w:kern w:val="36"/>
          <w:sz w:val="28"/>
          <w:szCs w:val="28"/>
        </w:rPr>
        <w:t>日    期：                         日    期:</w:t>
      </w:r>
      <w:r>
        <w:rPr>
          <w:rFonts w:hint="eastAsia" w:ascii="仿宋_GB2312" w:hAnsi="宋体" w:eastAsia="仿宋_GB2312" w:cs="宋体"/>
          <w:b w:val="0"/>
          <w:bCs w:val="0"/>
          <w:color w:val="000000"/>
          <w:kern w:val="36"/>
          <w:sz w:val="28"/>
          <w:szCs w:val="28"/>
        </w:rPr>
        <w:br w:type="page"/>
      </w:r>
    </w:p>
    <w:p>
      <w:pPr>
        <w:pStyle w:val="2"/>
        <w:rPr>
          <w:rFonts w:hint="eastAsia" w:ascii="华文中宋" w:hAnsi="华文中宋" w:eastAsia="华文中宋"/>
          <w:bCs/>
          <w:color w:val="auto"/>
          <w:highlight w:val="none"/>
        </w:rPr>
      </w:pPr>
    </w:p>
    <w:p>
      <w:pPr>
        <w:pStyle w:val="6"/>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15" w:name="_Toc49763003"/>
      <w:r>
        <w:rPr>
          <w:rFonts w:hint="eastAsia" w:ascii="华文中宋" w:hAnsi="华文中宋" w:eastAsia="华文中宋"/>
          <w:bCs w:val="0"/>
          <w:color w:val="auto"/>
        </w:rPr>
        <w:t xml:space="preserve"> 项目需求</w:t>
      </w:r>
      <w:bookmarkEnd w:id="115"/>
    </w:p>
    <w:p>
      <w:pPr>
        <w:spacing w:line="500" w:lineRule="exact"/>
        <w:ind w:firstLine="480" w:firstLineChars="200"/>
        <w:jc w:val="left"/>
        <w:rPr>
          <w:rFonts w:hint="eastAsia" w:ascii="宋体" w:hAnsi="宋体" w:eastAsia="宋体" w:cs="宋体"/>
          <w:b w:val="0"/>
          <w:bCs/>
          <w:sz w:val="24"/>
        </w:rPr>
      </w:pPr>
      <w:r>
        <w:rPr>
          <w:rFonts w:hint="eastAsia" w:ascii="宋体" w:hAnsi="宋体" w:eastAsia="宋体" w:cs="宋体"/>
          <w:b w:val="0"/>
          <w:bCs/>
          <w:sz w:val="24"/>
          <w:lang w:val="en-US" w:eastAsia="zh-CN"/>
        </w:rPr>
        <w:t>一、</w:t>
      </w:r>
      <w:r>
        <w:rPr>
          <w:rFonts w:hint="eastAsia" w:ascii="宋体" w:hAnsi="宋体" w:eastAsia="宋体" w:cs="宋体"/>
          <w:b w:val="0"/>
          <w:bCs/>
          <w:sz w:val="24"/>
        </w:rPr>
        <w:t>项目预算：</w:t>
      </w:r>
      <w:r>
        <w:rPr>
          <w:rFonts w:hint="eastAsia" w:ascii="宋体" w:hAnsi="宋体" w:eastAsia="宋体" w:cs="宋体"/>
          <w:b w:val="0"/>
          <w:bCs/>
          <w:sz w:val="24"/>
          <w:lang w:val="en-US" w:eastAsia="zh-CN"/>
        </w:rPr>
        <w:t>4</w:t>
      </w:r>
      <w:r>
        <w:rPr>
          <w:rFonts w:hint="eastAsia" w:ascii="宋体" w:hAnsi="宋体" w:eastAsia="宋体" w:cs="宋体"/>
          <w:b w:val="0"/>
          <w:bCs/>
          <w:sz w:val="24"/>
        </w:rPr>
        <w:t>5万元，</w:t>
      </w:r>
      <w:r>
        <w:rPr>
          <w:rFonts w:hint="eastAsia" w:ascii="宋体" w:hAnsi="宋体" w:eastAsia="宋体" w:cs="宋体"/>
          <w:b w:val="0"/>
          <w:bCs/>
          <w:sz w:val="24"/>
          <w:lang w:val="en-US" w:eastAsia="zh-CN"/>
        </w:rPr>
        <w:t>每年招生人数约</w:t>
      </w:r>
      <w:r>
        <w:rPr>
          <w:rFonts w:hint="eastAsia" w:ascii="宋体" w:hAnsi="宋体" w:eastAsia="宋体" w:cs="宋体"/>
          <w:b w:val="0"/>
          <w:bCs/>
          <w:sz w:val="24"/>
        </w:rPr>
        <w:t>3</w:t>
      </w:r>
      <w:r>
        <w:rPr>
          <w:rFonts w:hint="eastAsia" w:ascii="宋体" w:hAnsi="宋体" w:eastAsia="宋体" w:cs="宋体"/>
          <w:b w:val="0"/>
          <w:bCs/>
          <w:sz w:val="24"/>
          <w:lang w:val="en-US" w:eastAsia="zh-CN"/>
        </w:rPr>
        <w:t>8</w:t>
      </w:r>
      <w:r>
        <w:rPr>
          <w:rFonts w:hint="eastAsia" w:ascii="宋体" w:hAnsi="宋体" w:eastAsia="宋体" w:cs="宋体"/>
          <w:b w:val="0"/>
          <w:bCs/>
          <w:sz w:val="24"/>
        </w:rPr>
        <w:t>00人左右，最终具体数量按实际发放量核算付款。</w:t>
      </w:r>
    </w:p>
    <w:p>
      <w:pPr>
        <w:spacing w:line="500" w:lineRule="exact"/>
        <w:ind w:firstLine="480" w:firstLineChars="200"/>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二、本项目服务期限为二年，合同一年一签，学校根据服务质量问题和违约责任情况，决定续签下一年合同。</w:t>
      </w:r>
    </w:p>
    <w:p>
      <w:pPr>
        <w:spacing w:line="500" w:lineRule="exact"/>
        <w:ind w:firstLine="482" w:firstLineChars="200"/>
        <w:jc w:val="left"/>
        <w:rPr>
          <w:rFonts w:hint="eastAsia" w:ascii="宋体" w:hAnsi="宋体"/>
          <w:b/>
          <w:sz w:val="24"/>
        </w:rPr>
      </w:pPr>
      <w:r>
        <w:rPr>
          <w:rFonts w:hint="eastAsia" w:ascii="宋体" w:hAnsi="宋体"/>
          <w:b/>
          <w:sz w:val="24"/>
          <w:lang w:val="en-US" w:eastAsia="zh-CN"/>
        </w:rPr>
        <w:t>三</w:t>
      </w:r>
      <w:r>
        <w:rPr>
          <w:rFonts w:hint="eastAsia" w:ascii="宋体" w:hAnsi="宋体"/>
          <w:b/>
          <w:sz w:val="24"/>
        </w:rPr>
        <w:t>、采购用品名称、数量、技术参数</w:t>
      </w:r>
    </w:p>
    <w:tbl>
      <w:tblPr>
        <w:tblStyle w:val="25"/>
        <w:tblW w:w="9824" w:type="dxa"/>
        <w:tblInd w:w="93" w:type="dxa"/>
        <w:tblLayout w:type="fixed"/>
        <w:tblCellMar>
          <w:top w:w="0" w:type="dxa"/>
          <w:left w:w="108" w:type="dxa"/>
          <w:bottom w:w="0" w:type="dxa"/>
          <w:right w:w="108" w:type="dxa"/>
        </w:tblCellMar>
      </w:tblPr>
      <w:tblGrid>
        <w:gridCol w:w="579"/>
        <w:gridCol w:w="549"/>
        <w:gridCol w:w="1094"/>
        <w:gridCol w:w="751"/>
        <w:gridCol w:w="780"/>
        <w:gridCol w:w="562"/>
        <w:gridCol w:w="3707"/>
        <w:gridCol w:w="1802"/>
      </w:tblGrid>
      <w:tr>
        <w:tblPrEx>
          <w:tblCellMar>
            <w:top w:w="0" w:type="dxa"/>
            <w:left w:w="108" w:type="dxa"/>
            <w:bottom w:w="0" w:type="dxa"/>
            <w:right w:w="108" w:type="dxa"/>
          </w:tblCellMar>
        </w:tblPrEx>
        <w:trPr>
          <w:trHeight w:val="660" w:hRule="atLeast"/>
        </w:trPr>
        <w:tc>
          <w:tcPr>
            <w:tcW w:w="22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品名</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面料</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技术参数</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646" w:hRule="atLeast"/>
        </w:trPr>
        <w:tc>
          <w:tcPr>
            <w:tcW w:w="57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护</w:t>
            </w:r>
          </w:p>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士</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服</w:t>
            </w:r>
          </w:p>
        </w:tc>
        <w:tc>
          <w:tcPr>
            <w:tcW w:w="54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szCs w:val="21"/>
                <w:lang w:val="en-US" w:eastAsia="zh-CN"/>
              </w:rPr>
              <w:t>女</w:t>
            </w:r>
            <w:r>
              <w:rPr>
                <w:rFonts w:hint="eastAsia" w:ascii="宋体" w:hAnsi="宋体" w:cs="宋体"/>
                <w:color w:val="000000"/>
                <w:kern w:val="0"/>
                <w:szCs w:val="21"/>
                <w:lang w:bidi="ar"/>
              </w:rPr>
              <w:t>护</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士</w:t>
            </w:r>
          </w:p>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服</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b/>
                <w:sz w:val="24"/>
                <w:szCs w:val="24"/>
              </w:rPr>
              <w:t>夏装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lang w:bidi="ar"/>
              </w:rPr>
              <w:t>涤</w:t>
            </w:r>
            <w:r>
              <w:rPr>
                <w:rFonts w:hint="eastAsia" w:ascii="宋体" w:hAnsi="宋体" w:cs="宋体"/>
                <w:color w:val="000000"/>
                <w:kern w:val="0"/>
                <w:sz w:val="24"/>
                <w:szCs w:val="24"/>
                <w:lang w:val="en-US" w:eastAsia="zh-CN" w:bidi="ar"/>
              </w:rPr>
              <w:t>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成分：精梳府绸平纹 65%涤，35%棉。</w:t>
            </w:r>
          </w:p>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纱织：JT/C25×22.6，密度：104×61。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sz w:val="24"/>
                <w:szCs w:val="24"/>
              </w:rPr>
              <w:t>短袖裙服</w:t>
            </w:r>
          </w:p>
        </w:tc>
      </w:tr>
      <w:tr>
        <w:tblPrEx>
          <w:tblCellMar>
            <w:top w:w="0" w:type="dxa"/>
            <w:left w:w="108" w:type="dxa"/>
            <w:bottom w:w="0" w:type="dxa"/>
            <w:right w:w="108" w:type="dxa"/>
          </w:tblCellMar>
        </w:tblPrEx>
        <w:trPr>
          <w:trHeight w:val="670" w:hRule="atLeast"/>
        </w:trPr>
        <w:tc>
          <w:tcPr>
            <w:tcW w:w="57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b/>
                <w:sz w:val="24"/>
                <w:szCs w:val="24"/>
              </w:rPr>
              <w:t>春秋装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lang w:bidi="ar"/>
              </w:rPr>
              <w:t>涤</w:t>
            </w:r>
            <w:r>
              <w:rPr>
                <w:rFonts w:hint="eastAsia" w:ascii="宋体" w:hAnsi="宋体" w:cs="宋体"/>
                <w:color w:val="000000"/>
                <w:kern w:val="0"/>
                <w:sz w:val="24"/>
                <w:szCs w:val="24"/>
                <w:lang w:val="en-US" w:eastAsia="zh-CN" w:bidi="ar"/>
              </w:rPr>
              <w:t>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成分：精梳府绸平纹 65%涤，35%棉。</w:t>
            </w:r>
          </w:p>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纱织：JT/C25×22.6，密度：104×61。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sz w:val="24"/>
                <w:szCs w:val="24"/>
              </w:rPr>
              <w:t>长袖衣服后面不开叉</w:t>
            </w:r>
          </w:p>
        </w:tc>
      </w:tr>
      <w:tr>
        <w:tblPrEx>
          <w:tblCellMar>
            <w:top w:w="0" w:type="dxa"/>
            <w:left w:w="108" w:type="dxa"/>
            <w:bottom w:w="0" w:type="dxa"/>
            <w:right w:w="108" w:type="dxa"/>
          </w:tblCellMar>
        </w:tblPrEx>
        <w:trPr>
          <w:trHeight w:val="636" w:hRule="atLeast"/>
        </w:trPr>
        <w:tc>
          <w:tcPr>
            <w:tcW w:w="57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094"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b/>
                <w:sz w:val="24"/>
                <w:szCs w:val="24"/>
              </w:rPr>
              <w:t>冬装</w:t>
            </w:r>
          </w:p>
        </w:tc>
        <w:tc>
          <w:tcPr>
            <w:tcW w:w="75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涤卡</w:t>
            </w:r>
          </w:p>
        </w:tc>
        <w:tc>
          <w:tcPr>
            <w:tcW w:w="78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3707"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成分：全精紧密双线合股涤卡斜纹 65%涤，35%棉。</w:t>
            </w:r>
          </w:p>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纱织：JT/C45/2×21，密度：138×71。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sz w:val="24"/>
                <w:szCs w:val="24"/>
              </w:rPr>
              <w:t>长袖裙服+长裤</w:t>
            </w:r>
          </w:p>
        </w:tc>
      </w:tr>
      <w:tr>
        <w:tblPrEx>
          <w:tblCellMar>
            <w:top w:w="0" w:type="dxa"/>
            <w:left w:w="108" w:type="dxa"/>
            <w:bottom w:w="0" w:type="dxa"/>
            <w:right w:w="108" w:type="dxa"/>
          </w:tblCellMar>
        </w:tblPrEx>
        <w:trPr>
          <w:trHeight w:val="623" w:hRule="atLeast"/>
        </w:trPr>
        <w:tc>
          <w:tcPr>
            <w:tcW w:w="57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094"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b/>
                <w:sz w:val="24"/>
                <w:szCs w:val="24"/>
              </w:rPr>
            </w:pPr>
            <w:r>
              <w:rPr>
                <w:rFonts w:hint="eastAsia" w:ascii="宋体" w:hAnsi="宋体"/>
                <w:b/>
                <w:sz w:val="24"/>
                <w:szCs w:val="24"/>
              </w:rPr>
              <w:t>帽子</w:t>
            </w:r>
          </w:p>
        </w:tc>
        <w:tc>
          <w:tcPr>
            <w:tcW w:w="75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涤平</w:t>
            </w:r>
          </w:p>
        </w:tc>
        <w:tc>
          <w:tcPr>
            <w:tcW w:w="78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56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顶</w:t>
            </w:r>
          </w:p>
        </w:tc>
        <w:tc>
          <w:tcPr>
            <w:tcW w:w="3707"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bidi="ar"/>
              </w:rPr>
              <w:t>成分：精梳府绸平纹 65%涤，35%棉。</w:t>
            </w:r>
          </w:p>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纱织：JT/C25×22.6，密度：104×61。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szCs w:val="24"/>
                <w:lang w:bidi="ar"/>
              </w:rPr>
            </w:pPr>
            <w:r>
              <w:rPr>
                <w:rFonts w:hint="eastAsia" w:ascii="宋体" w:hAnsi="宋体"/>
                <w:sz w:val="24"/>
                <w:szCs w:val="24"/>
              </w:rPr>
              <w:t>2顶</w:t>
            </w:r>
            <w:r>
              <w:rPr>
                <w:rFonts w:hint="eastAsia" w:ascii="宋体" w:hAnsi="宋体" w:cs="宋体"/>
                <w:color w:val="000000"/>
                <w:kern w:val="0"/>
                <w:sz w:val="24"/>
                <w:szCs w:val="24"/>
                <w:lang w:bidi="ar"/>
              </w:rPr>
              <w:t>护士帽</w:t>
            </w:r>
          </w:p>
        </w:tc>
      </w:tr>
      <w:tr>
        <w:tblPrEx>
          <w:tblCellMar>
            <w:top w:w="0" w:type="dxa"/>
            <w:left w:w="108" w:type="dxa"/>
            <w:bottom w:w="0" w:type="dxa"/>
            <w:right w:w="108" w:type="dxa"/>
          </w:tblCellMar>
        </w:tblPrEx>
        <w:trPr>
          <w:trHeight w:val="598" w:hRule="atLeast"/>
        </w:trPr>
        <w:tc>
          <w:tcPr>
            <w:tcW w:w="57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男</w:t>
            </w:r>
            <w:r>
              <w:rPr>
                <w:rFonts w:hint="eastAsia" w:ascii="宋体" w:hAnsi="宋体" w:cs="宋体"/>
                <w:color w:val="000000"/>
                <w:kern w:val="0"/>
                <w:szCs w:val="21"/>
                <w:lang w:bidi="ar"/>
              </w:rPr>
              <w:t>护</w:t>
            </w:r>
          </w:p>
          <w:p>
            <w:pPr>
              <w:widowControl/>
              <w:jc w:val="center"/>
              <w:textAlignment w:val="center"/>
              <w:rPr>
                <w:rFonts w:hint="eastAsia" w:eastAsia="宋体"/>
                <w:lang w:val="en-US" w:eastAsia="zh-CN"/>
              </w:rPr>
            </w:pPr>
            <w:r>
              <w:rPr>
                <w:rFonts w:hint="eastAsia" w:ascii="宋体" w:hAnsi="宋体" w:cs="宋体"/>
                <w:color w:val="000000"/>
                <w:kern w:val="0"/>
                <w:szCs w:val="21"/>
                <w:lang w:bidi="ar"/>
              </w:rPr>
              <w:t>士</w:t>
            </w:r>
            <w:r>
              <w:rPr>
                <w:rFonts w:hint="eastAsia" w:ascii="宋体" w:hAnsi="宋体" w:cs="宋体"/>
                <w:color w:val="000000"/>
                <w:kern w:val="0"/>
                <w:szCs w:val="21"/>
                <w:lang w:val="en-US" w:eastAsia="zh-CN" w:bidi="ar"/>
              </w:rPr>
              <w:t>服</w:t>
            </w:r>
          </w:p>
          <w:p>
            <w:pPr>
              <w:widowControl/>
              <w:jc w:val="center"/>
              <w:textAlignment w:val="center"/>
              <w:rPr>
                <w:rFonts w:hint="default" w:ascii="宋体" w:hAnsi="宋体" w:eastAsia="宋体" w:cs="宋体"/>
                <w:color w:val="000000"/>
                <w:szCs w:val="21"/>
                <w:lang w:val="en-US" w:eastAsia="zh-CN"/>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b/>
                <w:sz w:val="24"/>
                <w:szCs w:val="24"/>
              </w:rPr>
              <w:t>夏装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涤</w:t>
            </w:r>
            <w:r>
              <w:rPr>
                <w:rFonts w:hint="eastAsia" w:ascii="宋体" w:hAnsi="宋体" w:cs="宋体"/>
                <w:color w:val="000000"/>
                <w:kern w:val="0"/>
                <w:sz w:val="24"/>
                <w:szCs w:val="24"/>
                <w:lang w:val="en-US" w:eastAsia="zh-CN" w:bidi="ar"/>
              </w:rPr>
              <w:t>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成分：精梳府绸平纹 65%涤，35%棉。</w:t>
            </w:r>
          </w:p>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纱织：JT/C25×22.6，密度：104×61。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sz w:val="24"/>
                <w:szCs w:val="24"/>
              </w:rPr>
              <w:t>短袖短衣+长裤</w:t>
            </w:r>
          </w:p>
        </w:tc>
      </w:tr>
      <w:tr>
        <w:tblPrEx>
          <w:tblCellMar>
            <w:top w:w="0" w:type="dxa"/>
            <w:left w:w="108" w:type="dxa"/>
            <w:bottom w:w="0" w:type="dxa"/>
            <w:right w:w="108" w:type="dxa"/>
          </w:tblCellMar>
        </w:tblPrEx>
        <w:trPr>
          <w:trHeight w:val="569" w:hRule="atLeast"/>
        </w:trPr>
        <w:tc>
          <w:tcPr>
            <w:tcW w:w="57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lang w:val="en-US" w:eastAsia="zh-CN"/>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b/>
                <w:sz w:val="24"/>
                <w:szCs w:val="24"/>
              </w:rPr>
              <w:t>春秋装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涤</w:t>
            </w:r>
            <w:r>
              <w:rPr>
                <w:rFonts w:hint="eastAsia" w:ascii="宋体" w:hAnsi="宋体" w:cs="宋体"/>
                <w:color w:val="000000"/>
                <w:kern w:val="0"/>
                <w:sz w:val="24"/>
                <w:szCs w:val="24"/>
                <w:lang w:val="en-US" w:eastAsia="zh-CN" w:bidi="ar"/>
              </w:rPr>
              <w:t>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成分：精梳府绸平纹 65%涤，35%棉。</w:t>
            </w:r>
          </w:p>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纱织：JT/C25×22.6，密度：104×61。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sz w:val="24"/>
                <w:szCs w:val="24"/>
              </w:rPr>
              <w:t>长袖衣服+长裤</w:t>
            </w:r>
          </w:p>
        </w:tc>
      </w:tr>
      <w:tr>
        <w:tblPrEx>
          <w:tblCellMar>
            <w:top w:w="0" w:type="dxa"/>
            <w:left w:w="108" w:type="dxa"/>
            <w:bottom w:w="0" w:type="dxa"/>
            <w:right w:w="108" w:type="dxa"/>
          </w:tblCellMar>
        </w:tblPrEx>
        <w:trPr>
          <w:trHeight w:val="656" w:hRule="atLeast"/>
        </w:trPr>
        <w:tc>
          <w:tcPr>
            <w:tcW w:w="57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lang w:val="en-US" w:eastAsia="zh-CN"/>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b/>
                <w:sz w:val="24"/>
                <w:szCs w:val="24"/>
              </w:rPr>
              <w:t>冬装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涤卡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成分：全精紧密双线合股涤卡斜纹 65%涤，35%棉，</w:t>
            </w:r>
          </w:p>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纱织：JT/C45/2×21，密度：138×71。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sz w:val="24"/>
                <w:szCs w:val="24"/>
              </w:rPr>
              <w:t>长袖衣服+长裤</w:t>
            </w:r>
          </w:p>
        </w:tc>
      </w:tr>
      <w:tr>
        <w:tblPrEx>
          <w:tblCellMar>
            <w:top w:w="0" w:type="dxa"/>
            <w:left w:w="108" w:type="dxa"/>
            <w:bottom w:w="0" w:type="dxa"/>
            <w:right w:w="108" w:type="dxa"/>
          </w:tblCellMar>
        </w:tblPrEx>
        <w:trPr>
          <w:trHeight w:val="666" w:hRule="atLeast"/>
        </w:trPr>
        <w:tc>
          <w:tcPr>
            <w:tcW w:w="579"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continue"/>
            <w:tcBorders>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Cs w:val="21"/>
                <w:lang w:val="en-US" w:eastAsia="zh-CN"/>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kern w:val="2"/>
                <w:sz w:val="24"/>
                <w:szCs w:val="24"/>
                <w:lang w:val="en-US" w:eastAsia="zh-CN" w:bidi="ar-SA"/>
              </w:rPr>
            </w:pPr>
            <w:r>
              <w:rPr>
                <w:rFonts w:hint="eastAsia" w:ascii="宋体" w:hAnsi="宋体"/>
                <w:b/>
                <w:sz w:val="24"/>
                <w:szCs w:val="24"/>
              </w:rPr>
              <w:t>帽子</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涤平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顶</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bidi="ar"/>
              </w:rPr>
              <w:t>成分：精梳府绸平纹 65%涤，35%棉。</w:t>
            </w:r>
          </w:p>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纱织：JT/C25×22.6，密度：104×61。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sz w:val="24"/>
                <w:szCs w:val="24"/>
              </w:rPr>
              <w:t>2顶圆帽</w:t>
            </w:r>
          </w:p>
        </w:tc>
      </w:tr>
      <w:tr>
        <w:tblPrEx>
          <w:tblCellMar>
            <w:top w:w="0" w:type="dxa"/>
            <w:left w:w="108" w:type="dxa"/>
            <w:bottom w:w="0" w:type="dxa"/>
            <w:right w:w="108" w:type="dxa"/>
          </w:tblCellMar>
        </w:tblPrEx>
        <w:trPr>
          <w:trHeight w:val="666" w:hRule="atLeast"/>
        </w:trPr>
        <w:tc>
          <w:tcPr>
            <w:tcW w:w="579" w:type="dxa"/>
            <w:vMerge w:val="restart"/>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医</w:t>
            </w:r>
          </w:p>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生</w:t>
            </w:r>
          </w:p>
          <w:p>
            <w:pPr>
              <w:jc w:val="center"/>
              <w:rPr>
                <w:rFonts w:hint="eastAsia" w:ascii="宋体" w:hAnsi="宋体" w:cs="宋体"/>
                <w:color w:val="000000"/>
                <w:szCs w:val="21"/>
              </w:rPr>
            </w:pPr>
            <w:r>
              <w:rPr>
                <w:rFonts w:hint="eastAsia" w:ascii="宋体" w:hAnsi="宋体" w:cs="宋体"/>
                <w:color w:val="000000"/>
                <w:kern w:val="0"/>
                <w:szCs w:val="21"/>
                <w:lang w:bidi="ar"/>
              </w:rPr>
              <w:t>服</w:t>
            </w:r>
          </w:p>
        </w:tc>
        <w:tc>
          <w:tcPr>
            <w:tcW w:w="549" w:type="dxa"/>
            <w:vMerge w:val="restart"/>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女</w:t>
            </w:r>
            <w:r>
              <w:rPr>
                <w:rFonts w:hint="eastAsia" w:ascii="宋体" w:hAnsi="宋体" w:cs="宋体"/>
                <w:color w:val="000000"/>
                <w:kern w:val="0"/>
                <w:szCs w:val="21"/>
                <w:lang w:bidi="ar"/>
              </w:rPr>
              <w:t>医</w:t>
            </w:r>
          </w:p>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生</w:t>
            </w:r>
          </w:p>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kern w:val="0"/>
                <w:szCs w:val="21"/>
                <w:lang w:bidi="ar"/>
              </w:rPr>
              <w:t>服</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sz w:val="24"/>
                <w:szCs w:val="24"/>
              </w:rPr>
            </w:pPr>
            <w:r>
              <w:rPr>
                <w:rFonts w:hint="eastAsia" w:ascii="宋体" w:hAnsi="宋体"/>
                <w:b/>
                <w:sz w:val="24"/>
                <w:szCs w:val="24"/>
              </w:rPr>
              <w:t>夏装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涤平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成分：精梳府绸平纹 65%涤，35%棉。</w:t>
            </w:r>
          </w:p>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纱织：JT/C25×22.6，密度：104×61。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sz w:val="24"/>
                <w:szCs w:val="24"/>
              </w:rPr>
            </w:pPr>
            <w:r>
              <w:rPr>
                <w:rFonts w:hint="eastAsia" w:ascii="宋体" w:hAnsi="宋体"/>
                <w:sz w:val="24"/>
                <w:szCs w:val="24"/>
              </w:rPr>
              <w:t>短袖偏长衣</w:t>
            </w:r>
          </w:p>
        </w:tc>
      </w:tr>
      <w:tr>
        <w:tblPrEx>
          <w:tblCellMar>
            <w:top w:w="0" w:type="dxa"/>
            <w:left w:w="108" w:type="dxa"/>
            <w:bottom w:w="0" w:type="dxa"/>
            <w:right w:w="108" w:type="dxa"/>
          </w:tblCellMar>
        </w:tblPrEx>
        <w:trPr>
          <w:trHeight w:val="666" w:hRule="atLeast"/>
        </w:trPr>
        <w:tc>
          <w:tcPr>
            <w:tcW w:w="57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lang w:val="en-US" w:eastAsia="zh-CN"/>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sz w:val="24"/>
                <w:szCs w:val="24"/>
              </w:rPr>
            </w:pPr>
            <w:r>
              <w:rPr>
                <w:rFonts w:hint="eastAsia" w:ascii="宋体" w:hAnsi="宋体"/>
                <w:b/>
                <w:sz w:val="24"/>
                <w:szCs w:val="24"/>
              </w:rPr>
              <w:t>冬装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涤卡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成分：全精紧密双线合股涤卡斜纹 65%涤，35%棉，</w:t>
            </w:r>
          </w:p>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纱织：JT/C45/2×21，密度：138×71。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sz w:val="24"/>
                <w:szCs w:val="24"/>
              </w:rPr>
            </w:pPr>
            <w:r>
              <w:rPr>
                <w:rFonts w:hint="eastAsia" w:ascii="宋体" w:hAnsi="宋体"/>
                <w:sz w:val="24"/>
                <w:szCs w:val="24"/>
              </w:rPr>
              <w:t>长袖衣服后面不开叉</w:t>
            </w:r>
          </w:p>
        </w:tc>
      </w:tr>
      <w:tr>
        <w:tblPrEx>
          <w:tblCellMar>
            <w:top w:w="0" w:type="dxa"/>
            <w:left w:w="108" w:type="dxa"/>
            <w:bottom w:w="0" w:type="dxa"/>
            <w:right w:w="108" w:type="dxa"/>
          </w:tblCellMar>
        </w:tblPrEx>
        <w:trPr>
          <w:trHeight w:val="666" w:hRule="atLeast"/>
        </w:trPr>
        <w:tc>
          <w:tcPr>
            <w:tcW w:w="57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continue"/>
            <w:tcBorders>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Cs w:val="21"/>
                <w:lang w:val="en-US" w:eastAsia="zh-CN"/>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sz w:val="24"/>
                <w:szCs w:val="24"/>
              </w:rPr>
            </w:pPr>
            <w:r>
              <w:rPr>
                <w:rFonts w:hint="eastAsia" w:ascii="宋体" w:hAnsi="宋体"/>
                <w:b/>
                <w:sz w:val="24"/>
                <w:szCs w:val="24"/>
              </w:rPr>
              <w:t>帽子</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涤平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顶</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成分：精梳府绸平纹 65%涤，35%棉。</w:t>
            </w:r>
          </w:p>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纱织：JT/C25×22.6，密度：104×61。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sz w:val="24"/>
                <w:szCs w:val="24"/>
              </w:rPr>
            </w:pPr>
            <w:r>
              <w:rPr>
                <w:rFonts w:hint="eastAsia" w:ascii="宋体" w:hAnsi="宋体"/>
                <w:sz w:val="24"/>
                <w:szCs w:val="24"/>
              </w:rPr>
              <w:t>1顶圆帽</w:t>
            </w:r>
          </w:p>
        </w:tc>
      </w:tr>
      <w:tr>
        <w:tblPrEx>
          <w:tblCellMar>
            <w:top w:w="0" w:type="dxa"/>
            <w:left w:w="108" w:type="dxa"/>
            <w:bottom w:w="0" w:type="dxa"/>
            <w:right w:w="108" w:type="dxa"/>
          </w:tblCellMar>
        </w:tblPrEx>
        <w:trPr>
          <w:trHeight w:val="666" w:hRule="atLeast"/>
        </w:trPr>
        <w:tc>
          <w:tcPr>
            <w:tcW w:w="57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restar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男</w:t>
            </w:r>
            <w:r>
              <w:rPr>
                <w:rFonts w:hint="eastAsia" w:ascii="宋体" w:hAnsi="宋体" w:cs="宋体"/>
                <w:color w:val="000000"/>
                <w:kern w:val="0"/>
                <w:szCs w:val="21"/>
                <w:lang w:bidi="ar"/>
              </w:rPr>
              <w:t>医</w:t>
            </w:r>
          </w:p>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生</w:t>
            </w:r>
          </w:p>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kern w:val="0"/>
                <w:szCs w:val="21"/>
                <w:lang w:bidi="ar"/>
              </w:rPr>
              <w:t>服</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kern w:val="2"/>
                <w:sz w:val="24"/>
                <w:szCs w:val="24"/>
                <w:lang w:val="en-US" w:eastAsia="zh-CN" w:bidi="ar-SA"/>
              </w:rPr>
            </w:pPr>
            <w:r>
              <w:rPr>
                <w:rFonts w:hint="eastAsia" w:ascii="宋体" w:hAnsi="宋体"/>
                <w:b/>
                <w:sz w:val="24"/>
                <w:szCs w:val="24"/>
              </w:rPr>
              <w:t>夏装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涤平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成分：精梳府绸平纹 65%涤，35%棉。</w:t>
            </w:r>
          </w:p>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纱织：JT/C25×22.6，密度：104×61。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sz w:val="24"/>
                <w:szCs w:val="24"/>
              </w:rPr>
            </w:pPr>
            <w:r>
              <w:rPr>
                <w:rFonts w:hint="eastAsia" w:ascii="宋体" w:hAnsi="宋体"/>
                <w:sz w:val="24"/>
                <w:szCs w:val="24"/>
              </w:rPr>
              <w:t>短袖短衣</w:t>
            </w:r>
          </w:p>
        </w:tc>
      </w:tr>
      <w:tr>
        <w:tblPrEx>
          <w:tblCellMar>
            <w:top w:w="0" w:type="dxa"/>
            <w:left w:w="108" w:type="dxa"/>
            <w:bottom w:w="0" w:type="dxa"/>
            <w:right w:w="108" w:type="dxa"/>
          </w:tblCellMar>
        </w:tblPrEx>
        <w:trPr>
          <w:trHeight w:val="615" w:hRule="atLeast"/>
        </w:trPr>
        <w:tc>
          <w:tcPr>
            <w:tcW w:w="57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lang w:val="en-US" w:eastAsia="zh-CN"/>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kern w:val="2"/>
                <w:sz w:val="24"/>
                <w:szCs w:val="24"/>
                <w:lang w:val="en-US" w:eastAsia="zh-CN" w:bidi="ar-SA"/>
              </w:rPr>
            </w:pPr>
            <w:r>
              <w:rPr>
                <w:rFonts w:hint="eastAsia" w:ascii="宋体" w:hAnsi="宋体"/>
                <w:b/>
                <w:sz w:val="24"/>
                <w:szCs w:val="24"/>
              </w:rPr>
              <w:t>冬装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涤卡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成分：全精紧密双线合股涤卡斜纹 65%涤，35%棉，</w:t>
            </w:r>
          </w:p>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纱织：JT/C45/2×21，密度：138×71。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sz w:val="24"/>
                <w:szCs w:val="24"/>
              </w:rPr>
            </w:pPr>
            <w:r>
              <w:rPr>
                <w:rFonts w:hint="eastAsia" w:ascii="宋体" w:hAnsi="宋体"/>
                <w:sz w:val="24"/>
                <w:szCs w:val="24"/>
              </w:rPr>
              <w:t>长袖衣服后面开叉</w:t>
            </w:r>
          </w:p>
        </w:tc>
      </w:tr>
      <w:tr>
        <w:tblPrEx>
          <w:tblCellMar>
            <w:top w:w="0" w:type="dxa"/>
            <w:left w:w="108" w:type="dxa"/>
            <w:bottom w:w="0" w:type="dxa"/>
            <w:right w:w="108" w:type="dxa"/>
          </w:tblCellMar>
        </w:tblPrEx>
        <w:trPr>
          <w:trHeight w:val="666" w:hRule="atLeast"/>
        </w:trPr>
        <w:tc>
          <w:tcPr>
            <w:tcW w:w="579"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continue"/>
            <w:tcBorders>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Cs w:val="21"/>
                <w:lang w:val="en-US" w:eastAsia="zh-CN"/>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kern w:val="2"/>
                <w:sz w:val="24"/>
                <w:szCs w:val="24"/>
                <w:lang w:val="en-US" w:eastAsia="zh-CN" w:bidi="ar-SA"/>
              </w:rPr>
            </w:pPr>
            <w:r>
              <w:rPr>
                <w:rFonts w:hint="eastAsia" w:ascii="宋体" w:hAnsi="宋体"/>
                <w:b/>
                <w:sz w:val="24"/>
                <w:szCs w:val="24"/>
              </w:rPr>
              <w:t>帽子</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涤平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顶</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成分：精梳府绸平纹 65%涤，35%棉。</w:t>
            </w:r>
          </w:p>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纱织：JT/C25×22.6，密度：104×61。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sz w:val="24"/>
                <w:szCs w:val="24"/>
              </w:rPr>
            </w:pPr>
            <w:r>
              <w:rPr>
                <w:rFonts w:hint="eastAsia" w:ascii="宋体" w:hAnsi="宋体"/>
                <w:sz w:val="24"/>
                <w:szCs w:val="24"/>
              </w:rPr>
              <w:t>1顶圆帽</w:t>
            </w:r>
          </w:p>
        </w:tc>
      </w:tr>
      <w:tr>
        <w:tblPrEx>
          <w:tblCellMar>
            <w:top w:w="0" w:type="dxa"/>
            <w:left w:w="108" w:type="dxa"/>
            <w:bottom w:w="0" w:type="dxa"/>
            <w:right w:w="108" w:type="dxa"/>
          </w:tblCellMar>
        </w:tblPrEx>
        <w:trPr>
          <w:trHeight w:val="666" w:hRule="atLeast"/>
        </w:trPr>
        <w:tc>
          <w:tcPr>
            <w:tcW w:w="579"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教师服</w:t>
            </w:r>
          </w:p>
        </w:tc>
        <w:tc>
          <w:tcPr>
            <w:tcW w:w="54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女</w:t>
            </w:r>
          </w:p>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教</w:t>
            </w:r>
          </w:p>
          <w:p>
            <w:pPr>
              <w:widowControl/>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师</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sz w:val="24"/>
                <w:szCs w:val="24"/>
              </w:rPr>
            </w:pPr>
            <w:r>
              <w:rPr>
                <w:rFonts w:hint="eastAsia" w:ascii="宋体" w:hAnsi="宋体"/>
                <w:b/>
                <w:sz w:val="24"/>
                <w:szCs w:val="24"/>
              </w:rPr>
              <w:t>夏装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涤平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成分：精梳府绸平纹 65%涤，35%棉。</w:t>
            </w:r>
          </w:p>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纱织：JT/C25×22.6，密度：104×61。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sz w:val="24"/>
                <w:szCs w:val="24"/>
              </w:rPr>
            </w:pPr>
            <w:r>
              <w:rPr>
                <w:rFonts w:hint="eastAsia" w:ascii="宋体" w:hAnsi="宋体"/>
                <w:sz w:val="24"/>
                <w:szCs w:val="24"/>
              </w:rPr>
              <w:t>短袖偏长衣</w:t>
            </w:r>
          </w:p>
        </w:tc>
      </w:tr>
      <w:tr>
        <w:tblPrEx>
          <w:tblCellMar>
            <w:top w:w="0" w:type="dxa"/>
            <w:left w:w="108" w:type="dxa"/>
            <w:bottom w:w="0" w:type="dxa"/>
            <w:right w:w="108" w:type="dxa"/>
          </w:tblCellMar>
        </w:tblPrEx>
        <w:trPr>
          <w:trHeight w:val="666" w:hRule="atLeast"/>
        </w:trPr>
        <w:tc>
          <w:tcPr>
            <w:tcW w:w="57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Cs w:val="21"/>
                <w:lang w:val="en-US" w:eastAsia="zh-CN"/>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sz w:val="24"/>
                <w:szCs w:val="24"/>
              </w:rPr>
            </w:pPr>
            <w:r>
              <w:rPr>
                <w:rFonts w:hint="eastAsia" w:ascii="宋体" w:hAnsi="宋体"/>
                <w:b/>
                <w:sz w:val="24"/>
                <w:szCs w:val="24"/>
              </w:rPr>
              <w:t>冬装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涤卡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成分：全精紧密双线合股涤卡斜纹 65%涤，35%棉，</w:t>
            </w:r>
          </w:p>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纱织：JT/C45/2×21，密度：138×71。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sz w:val="24"/>
                <w:szCs w:val="24"/>
              </w:rPr>
            </w:pPr>
            <w:r>
              <w:rPr>
                <w:rFonts w:hint="eastAsia" w:ascii="宋体" w:hAnsi="宋体"/>
                <w:sz w:val="24"/>
                <w:szCs w:val="24"/>
              </w:rPr>
              <w:t>长袖衣服后面不开叉</w:t>
            </w:r>
          </w:p>
        </w:tc>
      </w:tr>
      <w:tr>
        <w:tblPrEx>
          <w:tblCellMar>
            <w:top w:w="0" w:type="dxa"/>
            <w:left w:w="108" w:type="dxa"/>
            <w:bottom w:w="0" w:type="dxa"/>
            <w:right w:w="108" w:type="dxa"/>
          </w:tblCellMar>
        </w:tblPrEx>
        <w:trPr>
          <w:trHeight w:val="666" w:hRule="atLeast"/>
        </w:trPr>
        <w:tc>
          <w:tcPr>
            <w:tcW w:w="57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cs="宋体"/>
                <w:color w:val="000000"/>
                <w:szCs w:val="21"/>
                <w:lang w:val="en-US" w:eastAsia="zh-CN"/>
              </w:rPr>
            </w:pPr>
            <w:r>
              <w:rPr>
                <w:rFonts w:hint="eastAsia"/>
                <w:lang w:val="en-US" w:eastAsia="zh-CN"/>
              </w:rPr>
              <w:t>男</w:t>
            </w:r>
            <w:r>
              <w:rPr>
                <w:rFonts w:hint="eastAsia" w:ascii="宋体" w:hAnsi="宋体" w:cs="宋体"/>
                <w:color w:val="000000"/>
                <w:szCs w:val="21"/>
                <w:lang w:val="en-US" w:eastAsia="zh-CN"/>
              </w:rPr>
              <w:t>教师</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kern w:val="2"/>
                <w:sz w:val="24"/>
                <w:szCs w:val="24"/>
                <w:lang w:val="en-US" w:eastAsia="zh-CN" w:bidi="ar-SA"/>
              </w:rPr>
            </w:pPr>
            <w:r>
              <w:rPr>
                <w:rFonts w:hint="eastAsia" w:ascii="宋体" w:hAnsi="宋体"/>
                <w:b/>
                <w:sz w:val="24"/>
                <w:szCs w:val="24"/>
              </w:rPr>
              <w:t>夏装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涤平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成分：精梳府绸平纹 65%涤，35%棉。</w:t>
            </w:r>
          </w:p>
          <w:p>
            <w:pPr>
              <w:widowControl/>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纱织：JT/C25×22.6，密度：104×61。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kern w:val="2"/>
                <w:sz w:val="24"/>
                <w:szCs w:val="24"/>
                <w:lang w:val="en-US" w:eastAsia="zh-CN" w:bidi="ar-SA"/>
              </w:rPr>
            </w:pPr>
            <w:r>
              <w:rPr>
                <w:rFonts w:hint="eastAsia" w:ascii="宋体" w:hAnsi="宋体"/>
                <w:sz w:val="24"/>
                <w:szCs w:val="24"/>
              </w:rPr>
              <w:t>短袖短衣</w:t>
            </w:r>
          </w:p>
        </w:tc>
      </w:tr>
      <w:tr>
        <w:tblPrEx>
          <w:tblCellMar>
            <w:top w:w="0" w:type="dxa"/>
            <w:left w:w="108" w:type="dxa"/>
            <w:bottom w:w="0" w:type="dxa"/>
            <w:right w:w="108" w:type="dxa"/>
          </w:tblCellMar>
        </w:tblPrEx>
        <w:trPr>
          <w:trHeight w:val="666" w:hRule="atLeast"/>
        </w:trPr>
        <w:tc>
          <w:tcPr>
            <w:tcW w:w="57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Cs w:val="21"/>
              </w:rPr>
            </w:pPr>
          </w:p>
        </w:tc>
        <w:tc>
          <w:tcPr>
            <w:tcW w:w="54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Cs w:val="21"/>
                <w:lang w:val="en-US" w:eastAsia="zh-CN"/>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kern w:val="2"/>
                <w:sz w:val="24"/>
                <w:szCs w:val="24"/>
                <w:lang w:val="en-US" w:eastAsia="zh-CN" w:bidi="ar-SA"/>
              </w:rPr>
            </w:pPr>
            <w:r>
              <w:rPr>
                <w:rFonts w:hint="eastAsia" w:ascii="宋体" w:hAnsi="宋体"/>
                <w:b/>
                <w:sz w:val="24"/>
                <w:szCs w:val="24"/>
              </w:rPr>
              <w:t>冬装</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涤卡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37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成分：全精紧密双线合股涤卡斜纹 65%涤，35%棉，</w:t>
            </w:r>
          </w:p>
          <w:p>
            <w:pPr>
              <w:widowControl/>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纱织：JT/C45/2×21，密度：138×71。</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kern w:val="2"/>
                <w:sz w:val="24"/>
                <w:szCs w:val="24"/>
                <w:lang w:val="en-US" w:eastAsia="zh-CN" w:bidi="ar-SA"/>
              </w:rPr>
            </w:pPr>
            <w:r>
              <w:rPr>
                <w:rFonts w:hint="eastAsia" w:ascii="宋体" w:hAnsi="宋体"/>
                <w:sz w:val="24"/>
                <w:szCs w:val="24"/>
              </w:rPr>
              <w:t>长袖衣服后面开叉</w:t>
            </w:r>
          </w:p>
        </w:tc>
      </w:tr>
    </w:tbl>
    <w:p>
      <w:pPr>
        <w:adjustRightInd w:val="0"/>
        <w:snapToGrid w:val="0"/>
        <w:spacing w:line="440" w:lineRule="atLeast"/>
        <w:ind w:right="-364" w:rightChars="-130"/>
        <w:rPr>
          <w:rFonts w:hint="eastAsia" w:ascii="仿宋_GB2312" w:hAnsi="宋体" w:eastAsia="仿宋_GB2312"/>
          <w:b/>
          <w:sz w:val="24"/>
          <w:lang w:val="en-US" w:eastAsia="zh-CN"/>
        </w:rPr>
      </w:pPr>
      <w:r>
        <w:rPr>
          <w:rFonts w:hint="eastAsia" w:ascii="仿宋_GB2312" w:hAnsi="宋体" w:eastAsia="仿宋_GB2312"/>
          <w:b/>
          <w:sz w:val="24"/>
        </w:rPr>
        <w:t>注：</w:t>
      </w:r>
      <w:r>
        <w:rPr>
          <w:rFonts w:hint="eastAsia" w:ascii="仿宋_GB2312" w:hAnsi="宋体" w:eastAsia="仿宋_GB2312"/>
          <w:b/>
          <w:sz w:val="24"/>
          <w:lang w:val="en-US" w:eastAsia="zh-CN"/>
        </w:rPr>
        <w:t>1.女护士服领边全部用蓝色镶边，</w:t>
      </w:r>
    </w:p>
    <w:p>
      <w:pPr>
        <w:adjustRightInd w:val="0"/>
        <w:snapToGrid w:val="0"/>
        <w:spacing w:line="440" w:lineRule="atLeast"/>
        <w:ind w:right="-364" w:rightChars="-130" w:firstLine="482" w:firstLineChars="200"/>
        <w:rPr>
          <w:rFonts w:hint="eastAsia" w:ascii="仿宋_GB2312" w:hAnsi="宋体" w:eastAsia="仿宋_GB2312"/>
          <w:b/>
          <w:sz w:val="24"/>
        </w:rPr>
      </w:pPr>
      <w:r>
        <w:rPr>
          <w:rFonts w:hint="eastAsia" w:ascii="仿宋_GB2312" w:hAnsi="宋体" w:eastAsia="仿宋_GB2312"/>
          <w:b/>
          <w:sz w:val="24"/>
          <w:lang w:val="en-US" w:eastAsia="zh-CN"/>
        </w:rPr>
        <w:t>2.</w:t>
      </w:r>
      <w:r>
        <w:rPr>
          <w:rFonts w:hint="eastAsia" w:ascii="仿宋_GB2312" w:hAnsi="宋体" w:eastAsia="仿宋_GB2312"/>
          <w:b/>
          <w:sz w:val="24"/>
        </w:rPr>
        <w:t>教师白大衣的袖口要有松紧带，学生白大衣全部采用袖扣。</w:t>
      </w:r>
    </w:p>
    <w:p>
      <w:pPr>
        <w:pStyle w:val="2"/>
        <w:numPr>
          <w:ilvl w:val="0"/>
          <w:numId w:val="0"/>
        </w:numPr>
        <w:ind w:firstLine="466" w:firstLineChars="200"/>
        <w:rPr>
          <w:rFonts w:hint="eastAsia" w:ascii="仿宋_GB2312" w:hAnsi="宋体" w:eastAsia="仿宋_GB2312"/>
          <w:b/>
          <w:sz w:val="24"/>
        </w:rPr>
      </w:pPr>
      <w:r>
        <w:rPr>
          <w:rFonts w:hint="eastAsia" w:ascii="仿宋_GB2312" w:hAnsi="宋体" w:eastAsia="仿宋_GB2312"/>
          <w:b/>
          <w:sz w:val="24"/>
          <w:lang w:val="en-US" w:eastAsia="zh-CN"/>
        </w:rPr>
        <w:t>3.</w:t>
      </w:r>
      <w:r>
        <w:rPr>
          <w:rFonts w:hint="eastAsia" w:ascii="仿宋_GB2312" w:hAnsi="宋体" w:eastAsia="仿宋_GB2312"/>
          <w:b/>
          <w:sz w:val="24"/>
        </w:rPr>
        <w:t xml:space="preserve">男、女实验服上装需加印“ </w:t>
      </w:r>
      <w:r>
        <w:rPr>
          <w:rFonts w:hint="eastAsia" w:ascii="仿宋_GB2312" w:hAnsi="宋体" w:eastAsia="仿宋_GB2312"/>
          <w:b/>
          <w:sz w:val="24"/>
        </w:rPr>
        <w:drawing>
          <wp:inline distT="0" distB="0" distL="114300" distR="114300">
            <wp:extent cx="1447800" cy="371475"/>
            <wp:effectExtent l="0" t="0" r="0" b="9525"/>
            <wp:docPr id="3" name="图片 1" descr="皖医LOG红体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皖医LOG红体字"/>
                    <pic:cNvPicPr>
                      <a:picLocks noChangeAspect="1"/>
                    </pic:cNvPicPr>
                  </pic:nvPicPr>
                  <pic:blipFill>
                    <a:blip r:embed="rId6"/>
                    <a:stretch>
                      <a:fillRect/>
                    </a:stretch>
                  </pic:blipFill>
                  <pic:spPr>
                    <a:xfrm>
                      <a:off x="0" y="0"/>
                      <a:ext cx="1447800" cy="371475"/>
                    </a:xfrm>
                    <a:prstGeom prst="rect">
                      <a:avLst/>
                    </a:prstGeom>
                    <a:noFill/>
                    <a:ln>
                      <a:noFill/>
                    </a:ln>
                  </pic:spPr>
                </pic:pic>
              </a:graphicData>
            </a:graphic>
          </wp:inline>
        </w:drawing>
      </w:r>
      <w:r>
        <w:rPr>
          <w:rFonts w:hint="eastAsia" w:ascii="仿宋_GB2312" w:hAnsi="宋体" w:eastAsia="仿宋_GB2312"/>
          <w:b/>
          <w:sz w:val="24"/>
        </w:rPr>
        <w:t>”红色字样。</w:t>
      </w:r>
    </w:p>
    <w:p>
      <w:pPr>
        <w:pStyle w:val="2"/>
        <w:numPr>
          <w:ilvl w:val="0"/>
          <w:numId w:val="0"/>
        </w:numPr>
        <w:ind w:firstLine="466" w:firstLineChars="200"/>
        <w:rPr>
          <w:rFonts w:hint="default" w:ascii="仿宋_GB2312" w:hAnsi="宋体" w:eastAsia="仿宋_GB2312" w:cs="Times New Roman"/>
          <w:b/>
          <w:sz w:val="24"/>
          <w:lang w:val="en-US" w:eastAsia="zh-CN"/>
        </w:rPr>
      </w:pPr>
      <w:r>
        <w:rPr>
          <w:rFonts w:hint="eastAsia" w:ascii="仿宋_GB2312" w:hAnsi="宋体" w:eastAsia="仿宋_GB2312"/>
          <w:b/>
          <w:sz w:val="24"/>
          <w:lang w:val="en-US" w:eastAsia="zh-CN"/>
        </w:rPr>
        <w:t>4.</w:t>
      </w:r>
      <w:r>
        <w:rPr>
          <w:rFonts w:hint="eastAsia" w:ascii="仿宋_GB2312" w:hAnsi="宋体" w:eastAsia="仿宋_GB2312" w:cs="Times New Roman"/>
          <w:b/>
          <w:sz w:val="24"/>
        </w:rPr>
        <w:t>具体数量按实际发放量核算付款</w:t>
      </w:r>
      <w:r>
        <w:rPr>
          <w:rFonts w:hint="eastAsia" w:ascii="仿宋_GB2312" w:hAnsi="宋体" w:eastAsia="仿宋_GB2312" w:cs="Times New Roman"/>
          <w:b/>
          <w:sz w:val="24"/>
          <w:lang w:eastAsia="zh-CN"/>
        </w:rPr>
        <w:t>。</w:t>
      </w:r>
    </w:p>
    <w:p>
      <w:pPr>
        <w:pStyle w:val="2"/>
        <w:numPr>
          <w:ilvl w:val="0"/>
          <w:numId w:val="0"/>
        </w:numPr>
        <w:ind w:firstLine="546" w:firstLineChars="200"/>
        <w:rPr>
          <w:rFonts w:hint="eastAsia" w:ascii="宋体" w:hAnsi="宋体" w:cs="宋体"/>
          <w:b/>
          <w:sz w:val="24"/>
        </w:rPr>
      </w:pPr>
      <w:r>
        <w:rPr>
          <w:rFonts w:hint="eastAsia" w:ascii="宋体" w:hAnsi="宋体" w:cs="宋体"/>
          <w:b/>
          <w:sz w:val="28"/>
          <w:szCs w:val="28"/>
          <w:lang w:val="en-US" w:eastAsia="zh-CN"/>
        </w:rPr>
        <w:t>三、</w:t>
      </w:r>
      <w:r>
        <w:rPr>
          <w:rFonts w:hint="eastAsia" w:ascii="宋体" w:hAnsi="宋体" w:cs="宋体"/>
          <w:b/>
          <w:sz w:val="28"/>
          <w:szCs w:val="28"/>
        </w:rPr>
        <w:t>供货方式、时间及地点等要求:</w:t>
      </w:r>
    </w:p>
    <w:p>
      <w:pPr>
        <w:spacing w:line="500" w:lineRule="exact"/>
        <w:ind w:firstLine="480" w:firstLineChars="200"/>
        <w:rPr>
          <w:rFonts w:hint="eastAsia" w:ascii="宋体" w:hAnsi="宋体" w:cs="宋体"/>
          <w:bCs/>
          <w:sz w:val="24"/>
        </w:rPr>
      </w:pPr>
      <w:r>
        <w:rPr>
          <w:rFonts w:hint="eastAsia" w:ascii="宋体" w:hAnsi="宋体" w:cs="宋体"/>
          <w:bCs/>
          <w:sz w:val="24"/>
        </w:rPr>
        <w:t>1、供货时间、地点及方式:根据新生实际购买数量，充分考虑到季节、温度等因素对工作服尺码的影响，确保学生购买到合适的工作服。</w:t>
      </w:r>
      <w:r>
        <w:rPr>
          <w:rFonts w:hint="eastAsia" w:ascii="宋体" w:hAnsi="宋体" w:cs="宋体"/>
          <w:bCs/>
          <w:sz w:val="24"/>
          <w:lang w:val="en-US" w:eastAsia="zh-CN"/>
        </w:rPr>
        <w:t>9</w:t>
      </w:r>
      <w:r>
        <w:rPr>
          <w:rFonts w:hint="eastAsia" w:ascii="宋体" w:hAnsi="宋体" w:cs="宋体"/>
          <w:bCs/>
          <w:sz w:val="24"/>
        </w:rPr>
        <w:t>月</w:t>
      </w:r>
      <w:r>
        <w:rPr>
          <w:rFonts w:hint="eastAsia" w:ascii="宋体" w:hAnsi="宋体" w:cs="宋体"/>
          <w:bCs/>
          <w:sz w:val="24"/>
          <w:lang w:val="en-US" w:eastAsia="zh-CN"/>
        </w:rPr>
        <w:t>30</w:t>
      </w:r>
      <w:r>
        <w:rPr>
          <w:rFonts w:hint="eastAsia" w:ascii="宋体" w:hAnsi="宋体" w:cs="宋体"/>
          <w:bCs/>
          <w:sz w:val="24"/>
        </w:rPr>
        <w:t>日前，工作服由成交供应商运送至</w:t>
      </w:r>
      <w:r>
        <w:rPr>
          <w:rFonts w:hint="eastAsia" w:ascii="宋体" w:hAnsi="宋体" w:cs="宋体"/>
          <w:bCs/>
          <w:sz w:val="24"/>
          <w:lang w:val="en-US" w:eastAsia="zh-CN"/>
        </w:rPr>
        <w:t>滨江</w:t>
      </w:r>
      <w:r>
        <w:rPr>
          <w:rFonts w:hint="eastAsia" w:ascii="宋体" w:hAnsi="宋体" w:cs="宋体"/>
          <w:bCs/>
          <w:sz w:val="24"/>
        </w:rPr>
        <w:t>校区</w:t>
      </w:r>
      <w:r>
        <w:rPr>
          <w:rFonts w:hint="eastAsia" w:ascii="宋体" w:hAnsi="宋体" w:cs="宋体"/>
          <w:bCs/>
          <w:sz w:val="24"/>
          <w:lang w:val="en-US" w:eastAsia="zh-CN"/>
        </w:rPr>
        <w:t>和赭麓校区</w:t>
      </w:r>
      <w:r>
        <w:rPr>
          <w:rFonts w:hint="eastAsia" w:ascii="宋体" w:hAnsi="宋体" w:cs="宋体"/>
          <w:bCs/>
          <w:sz w:val="24"/>
        </w:rPr>
        <w:t>，如有变化另行商定。成交供应商按校方要求在指定地点按套分发到位，并负责分发场地卫生。</w:t>
      </w:r>
    </w:p>
    <w:p>
      <w:pPr>
        <w:spacing w:line="500" w:lineRule="exact"/>
        <w:ind w:firstLine="480" w:firstLineChars="200"/>
        <w:rPr>
          <w:rFonts w:hint="default" w:ascii="宋体" w:hAnsi="宋体" w:eastAsia="宋体" w:cs="宋体"/>
          <w:bCs/>
          <w:color w:val="000000"/>
          <w:sz w:val="24"/>
          <w:lang w:val="en-US" w:eastAsia="zh-CN"/>
        </w:rPr>
      </w:pPr>
      <w:r>
        <w:rPr>
          <w:rFonts w:hint="eastAsia" w:ascii="宋体" w:hAnsi="宋体" w:cs="宋体"/>
          <w:bCs/>
          <w:color w:val="000000"/>
          <w:sz w:val="24"/>
        </w:rPr>
        <w:t>2、付款方式:新生工作服费用现场结清，由成交供应商按中标价直接向学生收取，学校负责监督。当采购数量与实际使用数量不一致时，成交供应商应根据实际使用量供货，合同的最终结算金额按实际使用量乘以成交单价进行计算。多余货物由供应商运回，由此发生的费用由成交供应商承担（学校不承担任何费用）。</w:t>
      </w:r>
      <w:r>
        <w:rPr>
          <w:rFonts w:hint="eastAsia" w:ascii="宋体" w:hAnsi="宋体" w:cs="宋体"/>
          <w:bCs/>
          <w:color w:val="000000"/>
          <w:sz w:val="24"/>
          <w:lang w:val="en-US" w:eastAsia="zh-CN"/>
        </w:rPr>
        <w:t>教师工作服由国资处统一购买，供应商开据发票，据实结算，一次性付款。</w:t>
      </w:r>
    </w:p>
    <w:p>
      <w:pPr>
        <w:spacing w:line="500" w:lineRule="exact"/>
        <w:ind w:firstLine="480" w:firstLineChars="200"/>
        <w:rPr>
          <w:rFonts w:hint="eastAsia" w:ascii="宋体" w:hAnsi="宋体" w:cs="宋体"/>
          <w:bCs/>
          <w:color w:val="000000"/>
          <w:sz w:val="24"/>
        </w:rPr>
      </w:pPr>
      <w:r>
        <w:rPr>
          <w:rFonts w:hint="eastAsia" w:ascii="宋体" w:hAnsi="宋体" w:cs="宋体"/>
          <w:bCs/>
          <w:color w:val="000000"/>
          <w:sz w:val="24"/>
        </w:rPr>
        <w:t>3、货物发放:成交供应商负责工作服发放，承担与此相关的一切费用(包括技术人员交通费及其食宿、补助等费用)。学生收到的工作服尺寸、款式若与学生登记时或本合同规定的不一致，厂家应给予无偿调换，保证每位学生合身。</w:t>
      </w:r>
    </w:p>
    <w:p>
      <w:pPr>
        <w:spacing w:line="500" w:lineRule="exact"/>
        <w:ind w:firstLine="480" w:firstLineChars="200"/>
        <w:rPr>
          <w:rFonts w:hint="eastAsia" w:ascii="宋体" w:hAnsi="宋体" w:cs="宋体"/>
          <w:bCs/>
          <w:color w:val="000000"/>
          <w:sz w:val="24"/>
        </w:rPr>
      </w:pPr>
      <w:r>
        <w:rPr>
          <w:rFonts w:hint="eastAsia" w:ascii="宋体" w:hAnsi="宋体" w:cs="宋体"/>
          <w:bCs/>
          <w:color w:val="000000"/>
          <w:sz w:val="24"/>
        </w:rPr>
        <w:t>4、质量保证和售后服务</w:t>
      </w:r>
    </w:p>
    <w:p>
      <w:pPr>
        <w:spacing w:line="500" w:lineRule="exact"/>
        <w:ind w:firstLine="480" w:firstLineChars="200"/>
        <w:rPr>
          <w:rFonts w:hint="eastAsia" w:ascii="宋体" w:hAnsi="宋体" w:cs="宋体"/>
          <w:bCs/>
          <w:color w:val="000000"/>
          <w:sz w:val="24"/>
        </w:rPr>
      </w:pPr>
      <w:r>
        <w:rPr>
          <w:rFonts w:hint="eastAsia" w:ascii="宋体" w:hAnsi="宋体" w:cs="宋体"/>
          <w:bCs/>
          <w:color w:val="000000"/>
          <w:sz w:val="24"/>
        </w:rPr>
        <w:t>（1）成交供应商应按招标文件规定的工作服性能、技术要求，向校方提供未经使用的全新产品，并完全符合GB18401-2010《国家纺织产品安全技术规范》等质量标准。</w:t>
      </w:r>
    </w:p>
    <w:p>
      <w:pPr>
        <w:pStyle w:val="2"/>
        <w:spacing w:line="500" w:lineRule="exact"/>
        <w:ind w:firstLine="480"/>
        <w:rPr>
          <w:rFonts w:hint="eastAsia" w:ascii="宋体" w:hAnsi="宋体" w:cs="宋体"/>
          <w:bCs/>
          <w:sz w:val="24"/>
          <w:szCs w:val="24"/>
        </w:rPr>
      </w:pPr>
      <w:r>
        <w:rPr>
          <w:rFonts w:hint="eastAsia" w:ascii="宋体" w:hAnsi="宋体" w:cs="宋体"/>
          <w:bCs/>
          <w:color w:val="000000"/>
          <w:sz w:val="24"/>
          <w:szCs w:val="24"/>
        </w:rPr>
        <w:t>（2）质保期:质保期</w:t>
      </w:r>
      <w:r>
        <w:rPr>
          <w:rFonts w:hint="eastAsia" w:ascii="宋体" w:hAnsi="宋体" w:cs="宋体"/>
          <w:bCs/>
          <w:color w:val="000000"/>
          <w:sz w:val="24"/>
          <w:szCs w:val="24"/>
          <w:u w:val="single"/>
        </w:rPr>
        <w:t>叁</w:t>
      </w:r>
      <w:r>
        <w:rPr>
          <w:rFonts w:hint="eastAsia" w:ascii="宋体" w:hAnsi="宋体" w:cs="宋体"/>
          <w:bCs/>
          <w:color w:val="000000"/>
          <w:sz w:val="24"/>
          <w:szCs w:val="24"/>
        </w:rPr>
        <w:t>年。在质保期内，成交供应商</w:t>
      </w:r>
      <w:r>
        <w:rPr>
          <w:rFonts w:hint="eastAsia" w:ascii="宋体" w:hAnsi="宋体" w:cs="宋体"/>
          <w:bCs/>
          <w:sz w:val="24"/>
          <w:szCs w:val="24"/>
        </w:rPr>
        <w:t>应对由于材料和制造原因产生的缺陷而发生的任何不足负责，对出现的质量及安全问题负责处理解决并承担一切费用。</w:t>
      </w:r>
    </w:p>
    <w:p>
      <w:pPr>
        <w:spacing w:line="500" w:lineRule="exact"/>
        <w:ind w:firstLine="480" w:firstLineChars="200"/>
        <w:rPr>
          <w:rFonts w:hint="eastAsia" w:ascii="宋体" w:hAnsi="宋体" w:cs="宋体"/>
          <w:bCs/>
          <w:sz w:val="24"/>
          <w:lang w:val="zh-CN"/>
        </w:rPr>
      </w:pPr>
      <w:r>
        <w:rPr>
          <w:rFonts w:hint="eastAsia" w:ascii="宋体" w:hAnsi="宋体" w:cs="宋体"/>
          <w:bCs/>
          <w:sz w:val="24"/>
        </w:rPr>
        <w:t>（3）</w:t>
      </w:r>
      <w:r>
        <w:rPr>
          <w:rFonts w:hint="eastAsia" w:ascii="宋体" w:hAnsi="宋体" w:cs="宋体"/>
          <w:bCs/>
          <w:sz w:val="24"/>
          <w:lang w:val="zh-CN"/>
        </w:rPr>
        <w:t>成交供应商提供的工作服在质保期内出现质量问题，成交供应商应负责免费更换。对达不到技术要求者，根据实际情况，经双方协商，可按以下办法处理：</w:t>
      </w:r>
    </w:p>
    <w:p>
      <w:pPr>
        <w:spacing w:line="500" w:lineRule="exact"/>
        <w:ind w:firstLine="480" w:firstLineChars="200"/>
        <w:rPr>
          <w:rFonts w:hint="eastAsia" w:ascii="宋体" w:hAnsi="宋体" w:cs="宋体"/>
          <w:bCs/>
          <w:sz w:val="24"/>
          <w:lang w:val="zh-CN"/>
        </w:rPr>
      </w:pPr>
      <w:r>
        <w:rPr>
          <w:rFonts w:hint="eastAsia" w:ascii="宋体" w:hAnsi="宋体" w:cs="宋体"/>
          <w:bCs/>
          <w:sz w:val="24"/>
          <w:lang w:val="zh-CN"/>
        </w:rPr>
        <w:t>更换：由成交供应商承担所发生的全部费用。</w:t>
      </w:r>
    </w:p>
    <w:p>
      <w:pPr>
        <w:spacing w:line="500" w:lineRule="exact"/>
        <w:ind w:firstLine="480" w:firstLineChars="200"/>
        <w:rPr>
          <w:rFonts w:hint="eastAsia" w:ascii="宋体" w:hAnsi="宋体" w:cs="宋体"/>
          <w:bCs/>
          <w:sz w:val="24"/>
          <w:lang w:val="zh-CN"/>
        </w:rPr>
      </w:pPr>
      <w:r>
        <w:rPr>
          <w:rFonts w:hint="eastAsia" w:ascii="宋体" w:hAnsi="宋体" w:cs="宋体"/>
          <w:bCs/>
          <w:sz w:val="24"/>
          <w:lang w:val="zh-CN"/>
        </w:rPr>
        <w:t>贬值处理：由校方和成交供应商双方合议定价。</w:t>
      </w:r>
    </w:p>
    <w:p>
      <w:pPr>
        <w:spacing w:line="500" w:lineRule="exact"/>
        <w:ind w:firstLine="480" w:firstLineChars="200"/>
        <w:rPr>
          <w:rFonts w:hint="eastAsia" w:ascii="宋体" w:hAnsi="宋体" w:cs="宋体"/>
          <w:bCs/>
          <w:sz w:val="24"/>
        </w:rPr>
      </w:pPr>
      <w:r>
        <w:rPr>
          <w:rFonts w:hint="eastAsia" w:ascii="宋体" w:hAnsi="宋体" w:cs="宋体"/>
          <w:bCs/>
          <w:sz w:val="24"/>
          <w:lang w:val="zh-CN"/>
        </w:rPr>
        <w:t>退货处理：成交供应商应退还校方支付的合同款，同时应承担该工作服的直接费用（运输、保险、检验、货款利息及银行手续费等）。</w:t>
      </w:r>
    </w:p>
    <w:p>
      <w:pPr>
        <w:spacing w:line="500" w:lineRule="exact"/>
        <w:ind w:firstLine="480" w:firstLineChars="200"/>
        <w:rPr>
          <w:rFonts w:hint="eastAsia" w:ascii="宋体" w:hAnsi="宋体" w:cs="宋体"/>
          <w:bCs/>
          <w:sz w:val="24"/>
        </w:rPr>
      </w:pPr>
      <w:r>
        <w:rPr>
          <w:rFonts w:hint="eastAsia" w:ascii="宋体" w:hAnsi="宋体" w:cs="宋体"/>
          <w:bCs/>
          <w:sz w:val="24"/>
        </w:rPr>
        <w:t>（4）成交供应商所供工作服必须</w:t>
      </w:r>
      <w:r>
        <w:rPr>
          <w:rFonts w:hint="eastAsia" w:ascii="宋体" w:hAnsi="宋体" w:cs="宋体"/>
          <w:bCs/>
          <w:sz w:val="24"/>
          <w:lang w:val="zh-CN"/>
        </w:rPr>
        <w:t>质检</w:t>
      </w:r>
      <w:r>
        <w:rPr>
          <w:rFonts w:hint="eastAsia" w:ascii="宋体" w:hAnsi="宋体" w:cs="宋体"/>
          <w:bCs/>
          <w:sz w:val="24"/>
        </w:rPr>
        <w:t>合格，如在使用过程中发生质量问题，成交供应商无条件包退包换并承担一切费用。学生如有自行购买的，成交供应商需无条件供货到位。</w:t>
      </w:r>
    </w:p>
    <w:p>
      <w:pPr>
        <w:spacing w:line="500" w:lineRule="exact"/>
        <w:ind w:firstLine="480" w:firstLineChars="200"/>
        <w:rPr>
          <w:rFonts w:hint="eastAsia" w:ascii="宋体" w:hAnsi="宋体" w:cs="宋体"/>
          <w:bCs/>
          <w:sz w:val="24"/>
          <w:lang w:val="zh-CN"/>
        </w:rPr>
      </w:pPr>
      <w:r>
        <w:rPr>
          <w:rFonts w:hint="eastAsia" w:ascii="宋体" w:hAnsi="宋体" w:cs="宋体"/>
          <w:bCs/>
          <w:sz w:val="24"/>
        </w:rPr>
        <w:t>5、</w:t>
      </w:r>
      <w:r>
        <w:rPr>
          <w:rFonts w:hint="eastAsia" w:ascii="宋体" w:hAnsi="宋体" w:cs="宋体"/>
          <w:bCs/>
          <w:sz w:val="24"/>
          <w:lang w:val="zh-CN"/>
        </w:rPr>
        <w:t>如在使用过程中发生质量问题，成交供应商在接到校方通知后在</w:t>
      </w:r>
      <w:r>
        <w:rPr>
          <w:rFonts w:hint="eastAsia" w:ascii="宋体" w:hAnsi="宋体" w:cs="宋体"/>
          <w:bCs/>
          <w:sz w:val="24"/>
        </w:rPr>
        <w:t>24</w:t>
      </w:r>
      <w:r>
        <w:rPr>
          <w:rFonts w:hint="eastAsia" w:ascii="宋体" w:hAnsi="宋体" w:cs="宋体"/>
          <w:bCs/>
          <w:sz w:val="24"/>
          <w:lang w:val="zh-CN"/>
        </w:rPr>
        <w:t>小时内到达校方现场。</w:t>
      </w:r>
    </w:p>
    <w:p>
      <w:pPr>
        <w:spacing w:line="500" w:lineRule="exact"/>
        <w:ind w:firstLine="480" w:firstLineChars="200"/>
        <w:rPr>
          <w:rFonts w:hint="eastAsia" w:ascii="宋体" w:hAnsi="宋体" w:cs="宋体"/>
          <w:bCs/>
          <w:sz w:val="24"/>
        </w:rPr>
      </w:pPr>
      <w:r>
        <w:rPr>
          <w:rFonts w:hint="eastAsia" w:ascii="宋体" w:hAnsi="宋体" w:cs="宋体"/>
          <w:bCs/>
          <w:sz w:val="24"/>
        </w:rPr>
        <w:t>6、合同履行期限：本项目服务期限为二年，时间为202</w:t>
      </w:r>
      <w:r>
        <w:rPr>
          <w:rFonts w:hint="eastAsia" w:ascii="宋体" w:hAnsi="宋体" w:cs="宋体"/>
          <w:bCs/>
          <w:sz w:val="24"/>
          <w:lang w:val="en-US" w:eastAsia="zh-CN"/>
        </w:rPr>
        <w:t>3年7月1日</w:t>
      </w:r>
      <w:r>
        <w:rPr>
          <w:rFonts w:hint="eastAsia" w:ascii="宋体" w:hAnsi="宋体" w:cs="宋体"/>
          <w:bCs/>
          <w:sz w:val="24"/>
        </w:rPr>
        <w:t>-202</w:t>
      </w:r>
      <w:r>
        <w:rPr>
          <w:rFonts w:hint="eastAsia" w:ascii="宋体" w:hAnsi="宋体" w:cs="宋体"/>
          <w:bCs/>
          <w:sz w:val="24"/>
          <w:lang w:val="en-US" w:eastAsia="zh-CN"/>
        </w:rPr>
        <w:t>5年6月30日</w:t>
      </w:r>
      <w:r>
        <w:rPr>
          <w:rFonts w:hint="eastAsia" w:ascii="宋体" w:hAnsi="宋体" w:cs="宋体"/>
          <w:bCs/>
          <w:sz w:val="24"/>
        </w:rPr>
        <w:t>，合同一年一签。每年服务期满前一个月，学校根据服务质量问题和违约责任情况，决定续签下一年合同。</w:t>
      </w:r>
    </w:p>
    <w:p>
      <w:pPr>
        <w:spacing w:line="500" w:lineRule="exact"/>
        <w:ind w:firstLine="482" w:firstLineChars="200"/>
        <w:rPr>
          <w:rFonts w:hint="eastAsia" w:ascii="宋体" w:hAnsi="宋体" w:cs="宋体"/>
          <w:b/>
          <w:sz w:val="24"/>
          <w:lang w:val="zh-CN"/>
        </w:rPr>
      </w:pPr>
      <w:r>
        <w:rPr>
          <w:rFonts w:hint="eastAsia" w:ascii="宋体" w:hAnsi="宋体" w:cs="宋体"/>
          <w:b/>
          <w:sz w:val="24"/>
          <w:lang w:val="zh-CN"/>
        </w:rPr>
        <w:t>五、验收</w:t>
      </w:r>
    </w:p>
    <w:p>
      <w:pPr>
        <w:spacing w:line="500" w:lineRule="exact"/>
        <w:ind w:firstLine="480" w:firstLineChars="200"/>
        <w:rPr>
          <w:rFonts w:hint="eastAsia" w:ascii="宋体" w:hAnsi="宋体" w:cs="宋体"/>
          <w:bCs/>
          <w:sz w:val="24"/>
          <w:lang w:val="zh-CN"/>
        </w:rPr>
      </w:pPr>
      <w:r>
        <w:rPr>
          <w:rFonts w:hint="eastAsia" w:ascii="宋体" w:hAnsi="宋体" w:cs="宋体"/>
          <w:bCs/>
          <w:sz w:val="24"/>
          <w:lang w:val="zh-CN"/>
        </w:rPr>
        <w:t>1、校方对成交供应商提交的工作服依据招标文件上的技术规格要求和国家有关质量标准进行现场初步验收，外观、说明书符合招标文件技术要求的，给予签收，初步验收不合格的不予签收。</w:t>
      </w:r>
    </w:p>
    <w:p>
      <w:pPr>
        <w:spacing w:line="500" w:lineRule="exact"/>
        <w:ind w:firstLine="480" w:firstLineChars="200"/>
        <w:rPr>
          <w:rFonts w:hint="eastAsia" w:ascii="宋体" w:hAnsi="宋体" w:cs="宋体"/>
          <w:bCs/>
          <w:sz w:val="24"/>
          <w:lang w:val="zh-CN"/>
        </w:rPr>
      </w:pPr>
      <w:r>
        <w:rPr>
          <w:rFonts w:hint="eastAsia" w:ascii="宋体" w:hAnsi="宋体" w:cs="宋体"/>
          <w:bCs/>
          <w:sz w:val="24"/>
        </w:rPr>
        <w:t>2、</w:t>
      </w:r>
      <w:r>
        <w:rPr>
          <w:rFonts w:hint="eastAsia" w:ascii="宋体" w:hAnsi="宋体" w:cs="宋体"/>
          <w:bCs/>
          <w:sz w:val="24"/>
          <w:lang w:val="en-US" w:eastAsia="zh-CN"/>
        </w:rPr>
        <w:t>如果发现质量问题，</w:t>
      </w:r>
      <w:r>
        <w:rPr>
          <w:rFonts w:hint="eastAsia" w:ascii="宋体" w:hAnsi="宋体" w:cs="宋体"/>
          <w:bCs/>
          <w:sz w:val="24"/>
          <w:lang w:val="zh-CN"/>
        </w:rPr>
        <w:t>校方将委托第三方对成交供应商送达的</w:t>
      </w:r>
      <w:r>
        <w:rPr>
          <w:rFonts w:hint="eastAsia" w:ascii="宋体" w:hAnsi="宋体" w:cs="宋体"/>
          <w:bCs/>
          <w:sz w:val="24"/>
        </w:rPr>
        <w:t>工作服</w:t>
      </w:r>
      <w:r>
        <w:rPr>
          <w:rFonts w:hint="eastAsia" w:ascii="宋体" w:hAnsi="宋体" w:cs="宋体"/>
          <w:bCs/>
          <w:sz w:val="24"/>
          <w:lang w:val="zh-CN"/>
        </w:rPr>
        <w:t>随机抽检，检测费用由成交供应商承担。如质检验收不合格、发现伪劣产品或与样品有明显差异，采购人将视其情况，采取分批更换、退货、罚款等措施，直至向技术监督部门报告，依法处理。如质检验收合格，则由校方与成交供应商共同填写验收报告，完成项目验收。</w:t>
      </w:r>
    </w:p>
    <w:p>
      <w:pPr>
        <w:spacing w:line="500" w:lineRule="exact"/>
        <w:ind w:firstLine="482" w:firstLineChars="200"/>
        <w:rPr>
          <w:rFonts w:ascii="宋体" w:hAnsi="宋体" w:cs="宋体"/>
          <w:b/>
          <w:sz w:val="24"/>
        </w:rPr>
      </w:pPr>
      <w:r>
        <w:rPr>
          <w:rFonts w:hint="eastAsia" w:ascii="宋体" w:hAnsi="宋体" w:cs="宋体"/>
          <w:b/>
          <w:sz w:val="24"/>
          <w:lang w:val="zh-CN"/>
        </w:rPr>
        <w:t>六、</w:t>
      </w:r>
      <w:r>
        <w:rPr>
          <w:rFonts w:hint="eastAsia" w:ascii="宋体" w:hAnsi="宋体" w:cs="宋体"/>
          <w:b/>
          <w:sz w:val="24"/>
        </w:rPr>
        <w:t>样品要求</w:t>
      </w:r>
    </w:p>
    <w:p>
      <w:pPr>
        <w:spacing w:line="500" w:lineRule="exact"/>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投标时供应商需提供样品各一套包含：女医生普通白大衣一套（含冬装、夏装各1件、帽子1顶），男医生普通白大衣一套（含冬装、夏装各1件、帽子1顶），教师白大衣一套（含冬装、夏装各1件），女护士服一套（含冬装、夏装各1套、春秋装1件，帽子1顶）、男护士服一套（含冬装、夏装、春秋装各1套，帽子1顶）。</w:t>
      </w:r>
    </w:p>
    <w:p>
      <w:pPr>
        <w:autoSpaceDN w:val="0"/>
        <w:rPr>
          <w:rFonts w:hint="eastAsia"/>
          <w:b/>
          <w:bCs/>
          <w:sz w:val="30"/>
          <w:szCs w:val="30"/>
        </w:rPr>
      </w:pPr>
    </w:p>
    <w:p>
      <w:pPr>
        <w:pStyle w:val="6"/>
        <w:snapToGrid w:val="0"/>
        <w:spacing w:before="0" w:after="0"/>
        <w:ind w:left="0" w:leftChars="0" w:firstLine="0" w:firstLineChars="0"/>
        <w:jc w:val="center"/>
        <w:rPr>
          <w:rFonts w:ascii="楷体" w:hAnsi="楷体" w:eastAsia="楷体"/>
          <w:szCs w:val="28"/>
        </w:rPr>
      </w:pPr>
      <w:bookmarkStart w:id="116"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16"/>
    </w:p>
    <w:p>
      <w:pPr>
        <w:pStyle w:val="44"/>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ascii="Calibri" w:hAnsi="Calibri" w:eastAsia="宋体" w:cs="Times New Roman"/>
          <w:b/>
          <w:bCs/>
          <w:kern w:val="2"/>
          <w:sz w:val="28"/>
          <w:szCs w:val="28"/>
        </w:rPr>
      </w:pPr>
      <w:bookmarkStart w:id="117" w:name="_Toc49763005"/>
      <w:r>
        <w:rPr>
          <w:rFonts w:hint="eastAsia" w:ascii="Calibri" w:hAnsi="Calibri" w:eastAsia="宋体" w:cs="Times New Roman"/>
          <w:b/>
          <w:bCs/>
          <w:kern w:val="2"/>
          <w:sz w:val="28"/>
          <w:szCs w:val="28"/>
        </w:rPr>
        <w:t xml:space="preserve">一、评审原则 </w:t>
      </w:r>
    </w:p>
    <w:p>
      <w:pPr>
        <w:pStyle w:val="44"/>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1、合法、合规、公平、公正、科学、审慎、择优原则，</w:t>
      </w:r>
      <w:r>
        <w:rPr>
          <w:rFonts w:ascii="Calibri" w:hAnsi="Calibri" w:eastAsia="宋体" w:cs="Times New Roman"/>
          <w:kern w:val="2"/>
          <w:sz w:val="28"/>
          <w:szCs w:val="28"/>
        </w:rPr>
        <w:t>强调竞争性、客观性，减少机会性、主观性</w:t>
      </w:r>
      <w:r>
        <w:rPr>
          <w:rFonts w:hint="eastAsia" w:ascii="Calibri" w:hAnsi="Calibri" w:eastAsia="宋体" w:cs="Times New Roman"/>
          <w:kern w:val="2"/>
          <w:sz w:val="28"/>
          <w:szCs w:val="28"/>
        </w:rPr>
        <w:t>；</w:t>
      </w:r>
    </w:p>
    <w:p>
      <w:pPr>
        <w:pStyle w:val="44"/>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2、评标方式：本次评标采用综合评分法。</w:t>
      </w:r>
    </w:p>
    <w:p>
      <w:pPr>
        <w:pStyle w:val="44"/>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hint="eastAsia" w:ascii="Calibri" w:hAnsi="Calibri" w:eastAsia="宋体" w:cs="Times New Roman"/>
          <w:b/>
          <w:bCs/>
          <w:kern w:val="2"/>
          <w:sz w:val="28"/>
          <w:szCs w:val="28"/>
        </w:rPr>
      </w:pPr>
      <w:r>
        <w:rPr>
          <w:rFonts w:hint="eastAsia" w:ascii="Calibri" w:hAnsi="Calibri" w:eastAsia="宋体" w:cs="Times New Roman"/>
          <w:b/>
          <w:bCs/>
          <w:kern w:val="2"/>
          <w:sz w:val="28"/>
          <w:szCs w:val="28"/>
        </w:rPr>
        <w:t>二、评审内容及分值分配</w:t>
      </w:r>
    </w:p>
    <w:p>
      <w:pPr>
        <w:widowControl/>
        <w:adjustRightInd w:val="0"/>
        <w:snapToGrid w:val="0"/>
        <w:spacing w:line="360" w:lineRule="auto"/>
        <w:ind w:firstLine="643" w:firstLineChars="200"/>
        <w:rPr>
          <w:rFonts w:ascii="仿宋_GB2312" w:hAnsi="仿宋" w:eastAsia="仿宋_GB2312" w:cs="宋体"/>
          <w:kern w:val="0"/>
          <w:sz w:val="28"/>
          <w:szCs w:val="28"/>
        </w:rPr>
      </w:pPr>
      <w:r>
        <w:rPr>
          <w:rFonts w:hint="eastAsia" w:ascii="仿宋_GB2312" w:hAnsi="仿宋" w:eastAsia="仿宋_GB2312"/>
          <w:b/>
          <w:bCs w:val="0"/>
          <w:sz w:val="32"/>
          <w:szCs w:val="32"/>
        </w:rPr>
        <w:t>采用综合评分法，</w:t>
      </w:r>
      <w:r>
        <w:rPr>
          <w:rFonts w:hint="eastAsia" w:ascii="仿宋_GB2312" w:hAnsi="仿宋" w:eastAsia="仿宋_GB2312" w:cs="宋体"/>
          <w:b/>
          <w:bCs w:val="0"/>
          <w:kern w:val="0"/>
          <w:sz w:val="32"/>
          <w:szCs w:val="32"/>
        </w:rPr>
        <w:t>满分为1</w:t>
      </w:r>
      <w:r>
        <w:rPr>
          <w:rFonts w:hint="eastAsia" w:ascii="仿宋_GB2312" w:hAnsi="仿宋" w:eastAsia="仿宋_GB2312"/>
          <w:b/>
          <w:bCs w:val="0"/>
          <w:sz w:val="32"/>
          <w:szCs w:val="32"/>
        </w:rPr>
        <w:t>00分（数值计算结果均保留两位小数，第三位四舍五入）</w:t>
      </w:r>
    </w:p>
    <w:tbl>
      <w:tblPr>
        <w:tblStyle w:val="25"/>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70"/>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szCs w:val="21"/>
              </w:rPr>
            </w:pPr>
            <w:r>
              <w:rPr>
                <w:rFonts w:hint="eastAsia" w:ascii="宋体" w:hAnsi="宋体" w:cs="宋体"/>
                <w:b/>
                <w:szCs w:val="21"/>
              </w:rPr>
              <w:t>序号</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szCs w:val="21"/>
              </w:rPr>
            </w:pPr>
            <w:r>
              <w:rPr>
                <w:rFonts w:hint="eastAsia" w:ascii="宋体" w:hAnsi="宋体" w:cs="宋体"/>
                <w:b/>
                <w:szCs w:val="21"/>
              </w:rPr>
              <w:t>评审因素</w:t>
            </w:r>
          </w:p>
        </w:tc>
        <w:tc>
          <w:tcPr>
            <w:tcW w:w="7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1</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宋体"/>
                <w:sz w:val="21"/>
                <w:szCs w:val="21"/>
              </w:rPr>
            </w:pPr>
            <w:r>
              <w:rPr>
                <w:rFonts w:hint="eastAsia" w:ascii="宋体" w:hAnsi="宋体" w:cs="宋体"/>
                <w:color w:val="000000"/>
                <w:sz w:val="21"/>
                <w:szCs w:val="21"/>
              </w:rPr>
              <w:t>投标报价（</w:t>
            </w:r>
            <w:r>
              <w:rPr>
                <w:rFonts w:hint="eastAsia" w:ascii="宋体" w:hAnsi="宋体" w:cs="宋体"/>
                <w:color w:val="000000"/>
                <w:sz w:val="21"/>
                <w:szCs w:val="21"/>
                <w:lang w:val="en-US" w:eastAsia="zh-CN"/>
              </w:rPr>
              <w:t>3</w:t>
            </w:r>
            <w:r>
              <w:rPr>
                <w:rFonts w:hint="eastAsia" w:ascii="宋体" w:hAnsi="宋体" w:cs="宋体"/>
                <w:color w:val="000000"/>
                <w:sz w:val="21"/>
                <w:szCs w:val="21"/>
              </w:rPr>
              <w:t>0分）</w:t>
            </w:r>
          </w:p>
        </w:tc>
        <w:tc>
          <w:tcPr>
            <w:tcW w:w="71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900"/>
              </w:tabs>
              <w:kinsoku/>
              <w:wordWrap/>
              <w:overflowPunct/>
              <w:topLinePunct w:val="0"/>
              <w:autoSpaceDE/>
              <w:autoSpaceDN/>
              <w:bidi w:val="0"/>
              <w:spacing w:line="34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满足竞争性磋商文件要求且价格最低的最后磋商报价为磋商基准价，其价格分为满分</w:t>
            </w:r>
            <w:r>
              <w:rPr>
                <w:rFonts w:hint="eastAsia" w:ascii="宋体" w:hAnsi="宋体" w:cs="宋体"/>
                <w:color w:val="000000"/>
                <w:sz w:val="21"/>
                <w:szCs w:val="21"/>
                <w:lang w:val="en-US" w:eastAsia="zh-CN"/>
              </w:rPr>
              <w:t>3</w:t>
            </w:r>
            <w:r>
              <w:rPr>
                <w:rFonts w:hint="eastAsia" w:ascii="宋体" w:hAnsi="宋体" w:cs="宋体"/>
                <w:color w:val="000000"/>
                <w:sz w:val="21"/>
                <w:szCs w:val="21"/>
              </w:rPr>
              <w:t>0分。其他投标人的价格分统一按照下列公式计算：磋商报价得分＝（磋商基准价／最后磋商报价）×</w:t>
            </w:r>
            <w:r>
              <w:rPr>
                <w:rFonts w:hint="eastAsia" w:ascii="宋体" w:hAnsi="宋体" w:cs="宋体"/>
                <w:color w:val="000000"/>
                <w:sz w:val="21"/>
                <w:szCs w:val="21"/>
                <w:lang w:val="en-US" w:eastAsia="zh-CN"/>
              </w:rPr>
              <w:t>3</w:t>
            </w:r>
            <w:r>
              <w:rPr>
                <w:rFonts w:hint="eastAsia" w:ascii="宋体" w:hAnsi="宋体" w:cs="宋体"/>
                <w:color w:val="000000"/>
                <w:sz w:val="21"/>
                <w:szCs w:val="21"/>
              </w:rPr>
              <w:t>0，小数点后保留两位。（注：未实质性响应竞争性磋商文件的投标人的磋商报价不参与报价得分的计算）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投标样品（</w:t>
            </w:r>
            <w:r>
              <w:rPr>
                <w:rFonts w:hint="eastAsia" w:ascii="宋体" w:hAnsi="宋体" w:cs="宋体"/>
                <w:color w:val="000000"/>
                <w:sz w:val="21"/>
                <w:szCs w:val="21"/>
                <w:lang w:val="en-US" w:eastAsia="zh-CN"/>
              </w:rPr>
              <w:t>40</w:t>
            </w:r>
            <w:r>
              <w:rPr>
                <w:rFonts w:hint="eastAsia" w:ascii="宋体" w:hAnsi="宋体" w:cs="宋体"/>
                <w:color w:val="000000"/>
                <w:sz w:val="21"/>
                <w:szCs w:val="21"/>
              </w:rPr>
              <w:t>分）</w:t>
            </w:r>
          </w:p>
        </w:tc>
        <w:tc>
          <w:tcPr>
            <w:tcW w:w="71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900"/>
              </w:tabs>
              <w:kinsoku/>
              <w:wordWrap/>
              <w:overflowPunct/>
              <w:topLinePunct w:val="0"/>
              <w:autoSpaceDE/>
              <w:autoSpaceDN/>
              <w:bidi w:val="0"/>
              <w:spacing w:line="34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根据投标人提供的样品的包装、材质、手感、质量、产品观感效果、做工工艺进行综合评分：</w:t>
            </w:r>
          </w:p>
          <w:p>
            <w:pPr>
              <w:keepNext w:val="0"/>
              <w:keepLines w:val="0"/>
              <w:pageBreakBefore w:val="0"/>
              <w:widowControl w:val="0"/>
              <w:tabs>
                <w:tab w:val="left" w:pos="900"/>
              </w:tabs>
              <w:kinsoku/>
              <w:wordWrap/>
              <w:overflowPunct/>
              <w:topLinePunct w:val="0"/>
              <w:autoSpaceDE/>
              <w:autoSpaceDN/>
              <w:bidi w:val="0"/>
              <w:spacing w:line="340" w:lineRule="exact"/>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rPr>
              <w:t>①款式、版型的舒适度高；</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优得10分，中等5分，一般2分，差0分）</w:t>
            </w:r>
          </w:p>
          <w:p>
            <w:pPr>
              <w:keepNext w:val="0"/>
              <w:keepLines w:val="0"/>
              <w:pageBreakBefore w:val="0"/>
              <w:widowControl w:val="0"/>
              <w:tabs>
                <w:tab w:val="left" w:pos="900"/>
              </w:tabs>
              <w:kinsoku/>
              <w:wordWrap/>
              <w:overflowPunct/>
              <w:topLinePunct w:val="0"/>
              <w:autoSpaceDE/>
              <w:autoSpaceDN/>
              <w:bidi w:val="0"/>
              <w:spacing w:line="340" w:lineRule="exact"/>
              <w:textAlignment w:val="auto"/>
              <w:rPr>
                <w:rFonts w:hint="eastAsia" w:ascii="宋体" w:hAnsi="宋体" w:cs="宋体"/>
                <w:color w:val="000000"/>
                <w:sz w:val="21"/>
                <w:szCs w:val="21"/>
                <w:lang w:val="en-US" w:eastAsia="zh-CN"/>
              </w:rPr>
            </w:pPr>
            <w:r>
              <w:rPr>
                <w:rFonts w:hint="eastAsia" w:ascii="宋体" w:hAnsi="宋体" w:cs="宋体"/>
                <w:color w:val="000000"/>
                <w:sz w:val="21"/>
                <w:szCs w:val="21"/>
              </w:rPr>
              <w:t>②手感柔软、面料舒适、表面平滑；</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优得10分，中等5分，一般2分，差0分）</w:t>
            </w:r>
          </w:p>
          <w:p>
            <w:pPr>
              <w:keepNext w:val="0"/>
              <w:keepLines w:val="0"/>
              <w:pageBreakBefore w:val="0"/>
              <w:widowControl w:val="0"/>
              <w:tabs>
                <w:tab w:val="left" w:pos="900"/>
              </w:tabs>
              <w:kinsoku/>
              <w:wordWrap/>
              <w:overflowPunct/>
              <w:topLinePunct w:val="0"/>
              <w:autoSpaceDE/>
              <w:autoSpaceDN/>
              <w:bidi w:val="0"/>
              <w:spacing w:line="340" w:lineRule="exact"/>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rPr>
              <w:t>③质量好、无散口、线头、破洞，缝线处无缝隙等；</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优得10分，中等5分，一般2分，差0分）</w:t>
            </w:r>
          </w:p>
          <w:p>
            <w:pPr>
              <w:keepNext w:val="0"/>
              <w:keepLines w:val="0"/>
              <w:pageBreakBefore w:val="0"/>
              <w:widowControl w:val="0"/>
              <w:tabs>
                <w:tab w:val="left" w:pos="900"/>
              </w:tabs>
              <w:kinsoku/>
              <w:wordWrap/>
              <w:overflowPunct/>
              <w:topLinePunct w:val="0"/>
              <w:autoSpaceDE/>
              <w:autoSpaceDN/>
              <w:bidi w:val="0"/>
              <w:spacing w:line="340" w:lineRule="exact"/>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rPr>
              <w:t>④做工精湛、整洁美观</w:t>
            </w:r>
            <w:r>
              <w:rPr>
                <w:rFonts w:hint="eastAsia" w:ascii="宋体" w:hAnsi="宋体" w:cs="宋体"/>
                <w:color w:val="000000"/>
                <w:sz w:val="21"/>
                <w:szCs w:val="21"/>
                <w:lang w:eastAsia="zh-CN"/>
              </w:rPr>
              <w:t>、</w:t>
            </w:r>
            <w:r>
              <w:rPr>
                <w:rFonts w:hint="eastAsia" w:ascii="宋体" w:hAnsi="宋体" w:cs="宋体"/>
                <w:color w:val="000000"/>
                <w:sz w:val="21"/>
                <w:szCs w:val="21"/>
              </w:rPr>
              <w:t>明线顺直、宽窄均匀、无跳针，针距均匀，产品标志标识清晰。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优得10分，中等5分，一般2分，差0分）</w:t>
            </w:r>
          </w:p>
          <w:p>
            <w:pPr>
              <w:spacing w:line="500" w:lineRule="exact"/>
              <w:rPr>
                <w:rFonts w:hint="eastAsia" w:ascii="宋体" w:hAnsi="宋体" w:eastAsia="宋体" w:cs="宋体"/>
                <w:b/>
                <w:color w:val="000000"/>
                <w:kern w:val="2"/>
                <w:sz w:val="21"/>
                <w:szCs w:val="21"/>
                <w:lang w:val="en-US" w:eastAsia="zh-CN" w:bidi="ar-SA"/>
              </w:rPr>
            </w:pPr>
            <w:r>
              <w:rPr>
                <w:rFonts w:hint="eastAsia" w:ascii="宋体" w:hAnsi="宋体" w:eastAsia="宋体" w:cs="宋体"/>
                <w:b/>
                <w:bCs/>
                <w:color w:val="000000"/>
                <w:sz w:val="21"/>
                <w:szCs w:val="21"/>
              </w:rPr>
              <w:t>（未能提供样品、</w:t>
            </w:r>
            <w:r>
              <w:rPr>
                <w:rFonts w:hint="eastAsia" w:ascii="宋体" w:hAnsi="宋体" w:eastAsia="宋体" w:cs="宋体"/>
                <w:b/>
                <w:bCs/>
                <w:color w:val="000000"/>
                <w:sz w:val="21"/>
                <w:szCs w:val="21"/>
                <w:lang w:val="en-US" w:eastAsia="zh-CN"/>
              </w:rPr>
              <w:t>或</w:t>
            </w:r>
            <w:r>
              <w:rPr>
                <w:rFonts w:hint="eastAsia" w:ascii="宋体" w:hAnsi="宋体" w:eastAsia="宋体" w:cs="宋体"/>
                <w:b/>
                <w:bCs/>
                <w:color w:val="000000"/>
                <w:sz w:val="21"/>
                <w:szCs w:val="21"/>
              </w:rPr>
              <w:t>样品不齐全的，</w:t>
            </w:r>
            <w:r>
              <w:rPr>
                <w:rFonts w:hint="eastAsia" w:ascii="宋体" w:hAnsi="宋体" w:eastAsia="宋体" w:cs="宋体"/>
                <w:b/>
                <w:bCs/>
                <w:color w:val="000000"/>
                <w:sz w:val="21"/>
                <w:szCs w:val="21"/>
                <w:lang w:val="en-US" w:eastAsia="zh-CN"/>
              </w:rPr>
              <w:t>样品分不得分</w:t>
            </w:r>
            <w:r>
              <w:rPr>
                <w:rFonts w:hint="eastAsia" w:ascii="宋体" w:hAnsi="宋体" w:eastAsia="宋体" w:cs="宋体"/>
                <w:b/>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7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w:t>
            </w:r>
          </w:p>
        </w:tc>
        <w:tc>
          <w:tcPr>
            <w:tcW w:w="127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宋体"/>
                <w:sz w:val="21"/>
                <w:szCs w:val="21"/>
              </w:rPr>
            </w:pPr>
            <w:r>
              <w:rPr>
                <w:rFonts w:hint="eastAsia" w:ascii="宋体" w:hAnsi="宋体" w:cs="宋体"/>
                <w:sz w:val="21"/>
                <w:szCs w:val="21"/>
              </w:rPr>
              <w:t>投标人</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宋体"/>
                <w:sz w:val="21"/>
                <w:szCs w:val="21"/>
              </w:rPr>
            </w:pPr>
            <w:r>
              <w:rPr>
                <w:rFonts w:hint="eastAsia" w:ascii="宋体" w:hAnsi="宋体" w:cs="宋体"/>
                <w:sz w:val="21"/>
                <w:szCs w:val="21"/>
              </w:rPr>
              <w:t>业绩</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宋体"/>
                <w:color w:val="000000"/>
                <w:kern w:val="2"/>
                <w:sz w:val="21"/>
                <w:szCs w:val="21"/>
                <w:lang w:val="en-US" w:eastAsia="zh-CN" w:bidi="ar-SA"/>
              </w:rPr>
            </w:pPr>
            <w:r>
              <w:rPr>
                <w:rFonts w:hint="eastAsia" w:ascii="宋体" w:hAnsi="宋体" w:cs="宋体"/>
                <w:sz w:val="21"/>
                <w:szCs w:val="21"/>
              </w:rPr>
              <w:t>（10分）</w:t>
            </w:r>
          </w:p>
        </w:tc>
        <w:tc>
          <w:tcPr>
            <w:tcW w:w="7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rPr>
              <w:t>投标人于2019年1月1日以来（以合同签订时间为准）具有</w:t>
            </w:r>
            <w:r>
              <w:rPr>
                <w:rFonts w:hint="eastAsia" w:ascii="宋体" w:hAnsi="宋体" w:cs="宋体"/>
                <w:color w:val="000000"/>
                <w:kern w:val="0"/>
                <w:sz w:val="21"/>
                <w:szCs w:val="21"/>
                <w:lang w:val="en-US" w:eastAsia="zh-CN"/>
              </w:rPr>
              <w:t>高校（含高职高专）实验服的</w:t>
            </w:r>
            <w:r>
              <w:rPr>
                <w:rFonts w:hint="eastAsia" w:ascii="宋体" w:hAnsi="宋体" w:cs="宋体"/>
                <w:color w:val="000000"/>
                <w:kern w:val="0"/>
                <w:sz w:val="21"/>
                <w:szCs w:val="21"/>
              </w:rPr>
              <w:t>销售业绩，每提供一份合同得2分，本项最高得10分</w:t>
            </w:r>
            <w:r>
              <w:rPr>
                <w:rFonts w:hint="eastAsia" w:ascii="宋体" w:hAnsi="宋体" w:cs="宋体"/>
                <w:color w:val="000000"/>
                <w:kern w:val="0"/>
                <w:sz w:val="21"/>
                <w:szCs w:val="21"/>
                <w:lang w:eastAsia="zh-CN"/>
              </w:rPr>
              <w:t>。</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b/>
                <w:color w:val="000000"/>
                <w:kern w:val="2"/>
                <w:sz w:val="21"/>
                <w:szCs w:val="21"/>
                <w:lang w:val="en-US" w:eastAsia="zh-CN" w:bidi="ar-SA"/>
              </w:rPr>
            </w:pPr>
            <w:r>
              <w:rPr>
                <w:rFonts w:hint="eastAsia" w:ascii="宋体" w:hAnsi="宋体" w:cs="宋体"/>
                <w:b w:val="0"/>
                <w:bCs/>
                <w:kern w:val="0"/>
                <w:sz w:val="21"/>
                <w:szCs w:val="21"/>
                <w:lang w:val="en-US" w:eastAsia="zh-CN"/>
              </w:rPr>
              <w:t>业绩有效得分，须</w:t>
            </w:r>
            <w:r>
              <w:rPr>
                <w:rFonts w:hint="eastAsia" w:ascii="宋体" w:hAnsi="宋体" w:cs="宋体"/>
                <w:b w:val="0"/>
                <w:bCs/>
                <w:kern w:val="0"/>
                <w:sz w:val="21"/>
                <w:szCs w:val="21"/>
              </w:rPr>
              <w:t>提供合同复印件</w:t>
            </w:r>
            <w:r>
              <w:rPr>
                <w:rFonts w:hint="eastAsia" w:ascii="宋体" w:hAnsi="宋体" w:cs="宋体"/>
                <w:b w:val="0"/>
                <w:bCs/>
                <w:kern w:val="0"/>
                <w:sz w:val="21"/>
                <w:szCs w:val="21"/>
                <w:lang w:val="en-US" w:eastAsia="zh-CN"/>
              </w:rPr>
              <w:t>和验收合格证明，</w:t>
            </w:r>
            <w:r>
              <w:rPr>
                <w:rFonts w:hint="eastAsia" w:ascii="宋体" w:hAnsi="宋体" w:cs="宋体"/>
                <w:b w:val="0"/>
                <w:bCs/>
                <w:kern w:val="0"/>
                <w:sz w:val="21"/>
                <w:szCs w:val="21"/>
              </w:rPr>
              <w:t>并加盖投标人公章</w:t>
            </w:r>
            <w:r>
              <w:rPr>
                <w:rFonts w:hint="eastAsia" w:ascii="宋体" w:hAnsi="宋体" w:cs="宋体"/>
                <w:b w:val="0"/>
                <w:bCs/>
                <w:kern w:val="0"/>
                <w:sz w:val="21"/>
                <w:szCs w:val="21"/>
                <w:lang w:eastAsia="zh-CN"/>
              </w:rPr>
              <w:t>，</w:t>
            </w:r>
            <w:r>
              <w:rPr>
                <w:rFonts w:hint="eastAsia" w:ascii="宋体" w:hAnsi="宋体" w:cs="宋体"/>
                <w:kern w:val="0"/>
                <w:sz w:val="21"/>
                <w:szCs w:val="21"/>
              </w:rPr>
              <w:t>合同</w:t>
            </w:r>
            <w:r>
              <w:rPr>
                <w:rFonts w:hint="eastAsia" w:ascii="宋体" w:hAnsi="宋体" w:cs="宋体"/>
                <w:kern w:val="0"/>
                <w:sz w:val="21"/>
                <w:szCs w:val="21"/>
                <w:lang w:val="en-US" w:eastAsia="zh-CN"/>
              </w:rPr>
              <w:t>和验收证明</w:t>
            </w:r>
            <w:r>
              <w:rPr>
                <w:rFonts w:hint="eastAsia" w:ascii="宋体" w:hAnsi="宋体" w:cs="宋体"/>
                <w:kern w:val="0"/>
                <w:sz w:val="21"/>
                <w:szCs w:val="21"/>
              </w:rPr>
              <w:t>涂改无效，同一业主单位业绩不重复计分</w:t>
            </w: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67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4</w:t>
            </w:r>
          </w:p>
        </w:tc>
        <w:tc>
          <w:tcPr>
            <w:tcW w:w="127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宋体"/>
                <w:color w:val="000000"/>
                <w:sz w:val="21"/>
                <w:szCs w:val="21"/>
              </w:rPr>
            </w:pPr>
            <w:r>
              <w:rPr>
                <w:rFonts w:hint="eastAsia" w:ascii="宋体" w:hAnsi="宋体" w:cs="宋体"/>
                <w:color w:val="000000"/>
                <w:sz w:val="21"/>
                <w:szCs w:val="21"/>
              </w:rPr>
              <w:t>检测报告</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r>
              <w:rPr>
                <w:rFonts w:hint="eastAsia" w:ascii="宋体" w:hAnsi="宋体" w:cs="宋体"/>
                <w:color w:val="000000"/>
                <w:sz w:val="21"/>
                <w:szCs w:val="21"/>
                <w:lang w:val="en-US" w:eastAsia="zh-CN"/>
              </w:rPr>
              <w:t>10</w:t>
            </w:r>
            <w:r>
              <w:rPr>
                <w:rFonts w:hint="eastAsia" w:ascii="宋体" w:hAnsi="宋体" w:cs="宋体"/>
                <w:color w:val="000000"/>
                <w:sz w:val="21"/>
                <w:szCs w:val="21"/>
              </w:rPr>
              <w:t>分）</w:t>
            </w:r>
          </w:p>
        </w:tc>
        <w:tc>
          <w:tcPr>
            <w:tcW w:w="71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本项目涉及服装面料，需提供2022年1月以来由国家正规纤维检测机构出具的夏装和冬装检验报告各一份，</w:t>
            </w:r>
            <w:r>
              <w:rPr>
                <w:rFonts w:hint="eastAsia" w:ascii="宋体" w:hAnsi="宋体" w:cs="宋体"/>
                <w:b/>
                <w:color w:val="000000"/>
                <w:sz w:val="21"/>
                <w:szCs w:val="21"/>
              </w:rPr>
              <w:t>报告上的二维码可查询到电子版</w:t>
            </w:r>
            <w:r>
              <w:rPr>
                <w:rFonts w:hint="eastAsia" w:ascii="宋体" w:hAnsi="宋体" w:cs="宋体"/>
                <w:color w:val="000000"/>
                <w:sz w:val="21"/>
                <w:szCs w:val="21"/>
              </w:rPr>
              <w:t>，报告中的检测项目需符合或优于磋商文件所规定的技术参数的得</w:t>
            </w:r>
            <w:r>
              <w:rPr>
                <w:rFonts w:hint="eastAsia" w:ascii="宋体" w:hAnsi="宋体" w:cs="宋体"/>
                <w:color w:val="000000"/>
                <w:sz w:val="21"/>
                <w:szCs w:val="21"/>
                <w:lang w:val="en-US" w:eastAsia="zh-CN"/>
              </w:rPr>
              <w:t>10</w:t>
            </w:r>
            <w:r>
              <w:rPr>
                <w:rFonts w:hint="eastAsia" w:ascii="宋体" w:hAnsi="宋体" w:cs="宋体"/>
                <w:color w:val="000000"/>
                <w:sz w:val="21"/>
                <w:szCs w:val="21"/>
              </w:rPr>
              <w:t>分，技术参数出现负偏离的，每有一项扣</w:t>
            </w:r>
            <w:r>
              <w:rPr>
                <w:rFonts w:hint="eastAsia" w:ascii="宋体" w:hAnsi="宋体" w:cs="宋体"/>
                <w:color w:val="000000"/>
                <w:sz w:val="21"/>
                <w:szCs w:val="21"/>
                <w:lang w:val="en-US" w:eastAsia="zh-CN"/>
              </w:rPr>
              <w:t>2</w:t>
            </w:r>
            <w:r>
              <w:rPr>
                <w:rFonts w:hint="eastAsia" w:ascii="宋体" w:hAnsi="宋体" w:cs="宋体"/>
                <w:color w:val="000000"/>
                <w:sz w:val="21"/>
                <w:szCs w:val="21"/>
              </w:rPr>
              <w:t>分，扣完为止。不提供不得分。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r>
              <w:rPr>
                <w:rFonts w:hint="eastAsia" w:ascii="宋体" w:hAnsi="宋体" w:cs="宋体"/>
                <w:b/>
                <w:color w:val="000000"/>
                <w:sz w:val="21"/>
                <w:szCs w:val="21"/>
              </w:rPr>
              <w:t>检测报告委托单位须为本次投标单位，检验报告中须体现纤维含量、甲醛含量、PH值、单位面积质量（织物克重）、织物纱线线密度（纱支）、织物密度、起球等级、水洗尺寸变化率等指标</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7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27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宋体"/>
                <w:sz w:val="21"/>
                <w:szCs w:val="21"/>
              </w:rPr>
            </w:pPr>
            <w:r>
              <w:rPr>
                <w:rFonts w:hint="eastAsia" w:ascii="宋体" w:hAnsi="宋体" w:cs="宋体"/>
                <w:sz w:val="21"/>
                <w:szCs w:val="21"/>
              </w:rPr>
              <w:t>售后服务</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宋体"/>
                <w:kern w:val="2"/>
                <w:sz w:val="21"/>
                <w:szCs w:val="21"/>
                <w:lang w:val="en-US" w:eastAsia="zh-CN" w:bidi="ar-SA"/>
              </w:rPr>
            </w:pP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分）</w:t>
            </w:r>
          </w:p>
        </w:tc>
        <w:tc>
          <w:tcPr>
            <w:tcW w:w="713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根据投标人提供的服务响应时间、售后服务承诺、质量保证措施、后期服务人员的配备等方面进行评审，</w:t>
            </w:r>
          </w:p>
          <w:p>
            <w:pPr>
              <w:pStyle w:val="2"/>
              <w:rPr>
                <w:rFonts w:hint="eastAsia"/>
                <w:lang w:val="en-US" w:eastAsia="zh-CN"/>
              </w:rPr>
            </w:pPr>
            <w:r>
              <w:rPr>
                <w:rFonts w:hint="eastAsia" w:ascii="宋体" w:hAnsi="宋体" w:eastAsia="宋体" w:cs="宋体"/>
                <w:color w:val="000000"/>
                <w:kern w:val="2"/>
                <w:sz w:val="21"/>
                <w:szCs w:val="21"/>
                <w:lang w:val="en-US" w:eastAsia="zh-CN" w:bidi="ar-SA"/>
              </w:rPr>
              <w:t>有服务响应时间得3分，未承诺得0分；有售后服务承诺得2分，未承诺得0分；有质量保证措施得3分，未承诺质量保证措施得0分；有服务人员配备的得2分，未承诺服务人员配备得0分。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textAlignment w:val="auto"/>
        <w:rPr>
          <w:rFonts w:hint="eastAsia" w:ascii="仿宋" w:hAnsi="仿宋" w:eastAsia="仿宋"/>
          <w:sz w:val="28"/>
          <w:szCs w:val="28"/>
          <w:lang w:val="en-US" w:eastAsia="zh-CN"/>
        </w:rPr>
      </w:pPr>
    </w:p>
    <w:p>
      <w:pPr>
        <w:pStyle w:val="44"/>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8" w:name="_Toc403987220"/>
      <w:r>
        <w:rPr>
          <w:rFonts w:hint="eastAsia" w:ascii="华文中宋" w:hAnsi="华文中宋" w:eastAsia="华文中宋"/>
          <w:b/>
          <w:sz w:val="36"/>
          <w:szCs w:val="36"/>
        </w:rPr>
        <w:t>响应文件格式</w:t>
      </w:r>
      <w:bookmarkEnd w:id="117"/>
      <w:bookmarkEnd w:id="118"/>
    </w:p>
    <w:p>
      <w:pPr>
        <w:jc w:val="center"/>
        <w:rPr>
          <w:rFonts w:hAnsi="宋体"/>
          <w:b/>
          <w:sz w:val="72"/>
        </w:rPr>
      </w:pPr>
      <w:bookmarkStart w:id="119" w:name="_Hlt26955039"/>
      <w:bookmarkEnd w:id="119"/>
      <w:bookmarkStart w:id="120" w:name="_Hlt26671244"/>
      <w:bookmarkEnd w:id="120"/>
      <w:bookmarkStart w:id="121" w:name="_Toc26554094"/>
      <w:bookmarkStart w:id="122" w:name="_Toc120614282"/>
      <w:bookmarkStart w:id="123"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21"/>
    <w:bookmarkEnd w:id="122"/>
    <w:bookmarkEnd w:id="123"/>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hint="eastAsia"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5"/>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4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w:t>
            </w:r>
            <w:r>
              <w:rPr>
                <w:rFonts w:hint="eastAsia" w:cs="Times New Roman"/>
                <w:lang w:eastAsia="zh-CN"/>
              </w:rPr>
              <w:t>2023-2025学年学生实验服（白大衣）购置项目</w:t>
            </w:r>
          </w:p>
        </w:tc>
        <w:tc>
          <w:tcPr>
            <w:tcW w:w="4454"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pStyle w:val="2"/>
              <w:numPr>
                <w:ilvl w:val="0"/>
                <w:numId w:val="0"/>
              </w:numPr>
              <w:rPr>
                <w:rFonts w:hint="eastAsia"/>
                <w:lang w:val="en-US" w:eastAsia="zh-CN"/>
              </w:rPr>
            </w:pP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hint="eastAsia" w:ascii="宋体" w:hAnsi="宋体" w:eastAsia="宋体"/>
          <w:b/>
          <w:bCs/>
          <w:spacing w:val="-6"/>
          <w:sz w:val="24"/>
          <w:szCs w:val="24"/>
          <w:lang w:eastAsia="zh-CN"/>
        </w:rPr>
      </w:pPr>
      <w:r>
        <w:rPr>
          <w:rFonts w:hint="eastAsia" w:ascii="宋体" w:hAnsi="宋体"/>
          <w:b/>
          <w:bCs/>
          <w:spacing w:val="-6"/>
          <w:sz w:val="24"/>
          <w:szCs w:val="24"/>
          <w:lang w:eastAsia="zh-CN"/>
        </w:rPr>
        <w:t>报价明细表</w:t>
      </w:r>
    </w:p>
    <w:tbl>
      <w:tblPr>
        <w:tblStyle w:val="25"/>
        <w:tblW w:w="9645"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607"/>
        <w:gridCol w:w="1391"/>
        <w:gridCol w:w="1751"/>
        <w:gridCol w:w="1303"/>
        <w:gridCol w:w="964"/>
        <w:gridCol w:w="702"/>
        <w:gridCol w:w="938"/>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218" w:type="dxa"/>
            <w:noWrap w:val="0"/>
            <w:vAlign w:val="center"/>
          </w:tcPr>
          <w:p>
            <w:pPr>
              <w:pStyle w:val="65"/>
              <w:widowControl w:val="0"/>
              <w:spacing w:before="0" w:beforeAutospacing="0" w:after="0" w:afterAutospacing="0" w:line="0" w:lineRule="atLeast"/>
              <w:rPr>
                <w:rFonts w:hint="eastAsia" w:cs="宋体"/>
                <w:bCs w:val="0"/>
                <w:kern w:val="2"/>
                <w:sz w:val="24"/>
                <w:szCs w:val="20"/>
              </w:rPr>
            </w:pPr>
            <w:r>
              <w:rPr>
                <w:rFonts w:hint="eastAsia" w:cs="宋体"/>
                <w:bCs w:val="0"/>
                <w:kern w:val="2"/>
                <w:sz w:val="24"/>
                <w:szCs w:val="20"/>
              </w:rPr>
              <w:t>序号</w:t>
            </w:r>
          </w:p>
        </w:tc>
        <w:tc>
          <w:tcPr>
            <w:tcW w:w="607" w:type="dxa"/>
            <w:noWrap w:val="0"/>
            <w:vAlign w:val="center"/>
          </w:tcPr>
          <w:p>
            <w:pPr>
              <w:pStyle w:val="65"/>
              <w:widowControl w:val="0"/>
              <w:spacing w:before="0" w:beforeAutospacing="0" w:after="0" w:afterAutospacing="0" w:line="0" w:lineRule="atLeast"/>
              <w:rPr>
                <w:rFonts w:hint="eastAsia" w:cs="宋体"/>
                <w:bCs w:val="0"/>
                <w:kern w:val="2"/>
                <w:sz w:val="24"/>
                <w:szCs w:val="20"/>
              </w:rPr>
            </w:pPr>
          </w:p>
        </w:tc>
        <w:tc>
          <w:tcPr>
            <w:tcW w:w="1391" w:type="dxa"/>
            <w:noWrap w:val="0"/>
            <w:vAlign w:val="center"/>
          </w:tcPr>
          <w:p>
            <w:pPr>
              <w:spacing w:line="0" w:lineRule="atLeast"/>
              <w:jc w:val="center"/>
              <w:rPr>
                <w:rFonts w:hint="eastAsia" w:ascii="宋体" w:hAnsi="宋体" w:cs="宋体"/>
                <w:b/>
                <w:sz w:val="24"/>
              </w:rPr>
            </w:pPr>
            <w:r>
              <w:rPr>
                <w:rFonts w:hint="eastAsia" w:ascii="宋体" w:hAnsi="宋体" w:cs="宋体"/>
                <w:b/>
                <w:sz w:val="24"/>
              </w:rPr>
              <w:t>货物名称</w:t>
            </w:r>
          </w:p>
        </w:tc>
        <w:tc>
          <w:tcPr>
            <w:tcW w:w="1751" w:type="dxa"/>
            <w:noWrap w:val="0"/>
            <w:vAlign w:val="center"/>
          </w:tcPr>
          <w:p>
            <w:pPr>
              <w:spacing w:line="0" w:lineRule="atLeast"/>
              <w:jc w:val="center"/>
              <w:rPr>
                <w:rFonts w:hint="eastAsia" w:ascii="宋体" w:hAnsi="宋体" w:eastAsia="宋体" w:cs="宋体"/>
                <w:b/>
                <w:sz w:val="24"/>
                <w:lang w:val="en-US" w:eastAsia="zh-CN"/>
              </w:rPr>
            </w:pPr>
            <w:r>
              <w:rPr>
                <w:rFonts w:hint="eastAsia" w:ascii="宋体" w:hAnsi="宋体" w:cs="宋体"/>
                <w:b/>
                <w:bCs/>
                <w:color w:val="000000"/>
                <w:kern w:val="0"/>
                <w:szCs w:val="21"/>
                <w:lang w:bidi="ar"/>
              </w:rPr>
              <w:t>技术参数</w:t>
            </w:r>
          </w:p>
        </w:tc>
        <w:tc>
          <w:tcPr>
            <w:tcW w:w="1303" w:type="dxa"/>
            <w:noWrap w:val="0"/>
            <w:vAlign w:val="center"/>
          </w:tcPr>
          <w:p>
            <w:pPr>
              <w:spacing w:line="0" w:lineRule="atLeast"/>
              <w:jc w:val="center"/>
              <w:rPr>
                <w:rFonts w:hint="eastAsia" w:ascii="宋体" w:hAnsi="宋体" w:cs="宋体"/>
                <w:b/>
                <w:sz w:val="24"/>
              </w:rPr>
            </w:pPr>
            <w:r>
              <w:rPr>
                <w:rFonts w:hint="eastAsia" w:ascii="宋体" w:hAnsi="宋体" w:cs="宋体"/>
                <w:b/>
                <w:sz w:val="24"/>
              </w:rPr>
              <w:t>原产地及</w:t>
            </w:r>
          </w:p>
          <w:p>
            <w:pPr>
              <w:spacing w:line="0" w:lineRule="atLeast"/>
              <w:jc w:val="center"/>
              <w:rPr>
                <w:rFonts w:hint="eastAsia" w:ascii="宋体" w:hAnsi="宋体" w:cs="宋体"/>
                <w:b/>
                <w:sz w:val="24"/>
              </w:rPr>
            </w:pPr>
            <w:r>
              <w:rPr>
                <w:rFonts w:hint="eastAsia" w:ascii="宋体" w:hAnsi="宋体" w:cs="宋体"/>
                <w:b/>
                <w:sz w:val="24"/>
              </w:rPr>
              <w:t>生产厂商</w:t>
            </w:r>
          </w:p>
        </w:tc>
        <w:tc>
          <w:tcPr>
            <w:tcW w:w="964" w:type="dxa"/>
            <w:noWrap w:val="0"/>
            <w:vAlign w:val="center"/>
          </w:tcPr>
          <w:p>
            <w:pPr>
              <w:spacing w:line="0" w:lineRule="atLeast"/>
              <w:jc w:val="center"/>
              <w:rPr>
                <w:rFonts w:hint="eastAsia" w:ascii="宋体" w:hAnsi="宋体" w:cs="宋体"/>
                <w:b/>
                <w:sz w:val="24"/>
              </w:rPr>
            </w:pPr>
            <w:r>
              <w:rPr>
                <w:rFonts w:hint="eastAsia" w:ascii="宋体" w:hAnsi="宋体" w:cs="宋体"/>
                <w:b/>
                <w:sz w:val="24"/>
              </w:rPr>
              <w:t>单位</w:t>
            </w:r>
          </w:p>
        </w:tc>
        <w:tc>
          <w:tcPr>
            <w:tcW w:w="702" w:type="dxa"/>
            <w:noWrap w:val="0"/>
            <w:vAlign w:val="center"/>
          </w:tcPr>
          <w:p>
            <w:pPr>
              <w:spacing w:line="0" w:lineRule="atLeast"/>
              <w:jc w:val="center"/>
              <w:rPr>
                <w:rFonts w:hint="eastAsia" w:ascii="宋体" w:hAnsi="宋体" w:cs="宋体"/>
                <w:b/>
                <w:sz w:val="24"/>
              </w:rPr>
            </w:pPr>
            <w:r>
              <w:rPr>
                <w:rFonts w:hint="eastAsia" w:ascii="宋体" w:hAnsi="宋体" w:cs="宋体"/>
                <w:b/>
                <w:sz w:val="24"/>
                <w:lang w:val="en-US" w:eastAsia="zh-CN"/>
              </w:rPr>
              <w:t>每年预估</w:t>
            </w:r>
            <w:r>
              <w:rPr>
                <w:rFonts w:hint="eastAsia" w:ascii="宋体" w:hAnsi="宋体" w:cs="宋体"/>
                <w:b/>
                <w:sz w:val="24"/>
              </w:rPr>
              <w:t>数量</w:t>
            </w:r>
          </w:p>
        </w:tc>
        <w:tc>
          <w:tcPr>
            <w:tcW w:w="938" w:type="dxa"/>
            <w:noWrap w:val="0"/>
            <w:vAlign w:val="center"/>
          </w:tcPr>
          <w:p>
            <w:pPr>
              <w:spacing w:line="0" w:lineRule="atLeast"/>
              <w:jc w:val="center"/>
              <w:rPr>
                <w:rFonts w:hint="eastAsia" w:ascii="宋体" w:hAnsi="宋体" w:cs="宋体"/>
                <w:b/>
                <w:sz w:val="24"/>
              </w:rPr>
            </w:pPr>
            <w:r>
              <w:rPr>
                <w:rFonts w:hint="eastAsia" w:ascii="宋体" w:hAnsi="宋体" w:cs="宋体"/>
                <w:b/>
                <w:sz w:val="24"/>
              </w:rPr>
              <w:t>单价</w:t>
            </w:r>
          </w:p>
          <w:p>
            <w:pPr>
              <w:spacing w:line="0" w:lineRule="atLeast"/>
              <w:jc w:val="center"/>
              <w:rPr>
                <w:rFonts w:hint="eastAsia" w:ascii="宋体" w:hAnsi="宋体" w:cs="宋体"/>
                <w:b/>
                <w:sz w:val="24"/>
              </w:rPr>
            </w:pPr>
            <w:r>
              <w:rPr>
                <w:rFonts w:hint="eastAsia" w:ascii="宋体" w:hAnsi="宋体" w:cs="宋体"/>
                <w:b/>
                <w:sz w:val="24"/>
              </w:rPr>
              <w:t>（元）</w:t>
            </w:r>
          </w:p>
        </w:tc>
        <w:tc>
          <w:tcPr>
            <w:tcW w:w="771" w:type="dxa"/>
            <w:noWrap w:val="0"/>
            <w:vAlign w:val="center"/>
          </w:tcPr>
          <w:p>
            <w:pPr>
              <w:spacing w:line="0" w:lineRule="atLeast"/>
              <w:jc w:val="center"/>
              <w:rPr>
                <w:rFonts w:hint="eastAsia" w:ascii="宋体" w:hAnsi="宋体" w:cs="宋体"/>
                <w:b/>
                <w:sz w:val="24"/>
              </w:rPr>
            </w:pPr>
            <w:r>
              <w:rPr>
                <w:rFonts w:hint="eastAsia" w:ascii="宋体" w:hAnsi="宋体" w:cs="宋体"/>
                <w:b/>
                <w:sz w:val="24"/>
              </w:rPr>
              <w:t>小计</w:t>
            </w:r>
          </w:p>
          <w:p>
            <w:pPr>
              <w:spacing w:line="0" w:lineRule="atLeast"/>
              <w:jc w:val="center"/>
              <w:rPr>
                <w:rFonts w:hint="eastAsia" w:ascii="宋体" w:hAnsi="宋体" w:cs="宋体"/>
                <w:b/>
                <w:sz w:val="24"/>
              </w:rPr>
            </w:pPr>
            <w:r>
              <w:rPr>
                <w:rFonts w:hint="eastAsia" w:ascii="宋体" w:hAnsi="宋体" w:cs="宋体"/>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218" w:type="dxa"/>
            <w:vMerge w:val="restart"/>
            <w:noWrap w:val="0"/>
            <w:vAlign w:val="center"/>
          </w:tcPr>
          <w:p>
            <w:pPr>
              <w:spacing w:line="0" w:lineRule="atLeast"/>
              <w:jc w:val="center"/>
              <w:rPr>
                <w:rFonts w:hint="eastAsia" w:ascii="宋体" w:hAnsi="宋体" w:cs="宋体"/>
                <w:sz w:val="24"/>
              </w:rPr>
            </w:pPr>
            <w:r>
              <w:rPr>
                <w:rFonts w:hint="eastAsia" w:ascii="宋体" w:hAnsi="宋体" w:cs="宋体"/>
                <w:sz w:val="24"/>
              </w:rPr>
              <w:t>1</w:t>
            </w:r>
          </w:p>
        </w:tc>
        <w:tc>
          <w:tcPr>
            <w:tcW w:w="607" w:type="dxa"/>
            <w:vMerge w:val="restart"/>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护</w:t>
            </w:r>
          </w:p>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理</w:t>
            </w:r>
          </w:p>
          <w:p>
            <w:pPr>
              <w:spacing w:line="0" w:lineRule="atLeast"/>
              <w:jc w:val="center"/>
              <w:rPr>
                <w:rFonts w:hint="eastAsia" w:ascii="宋体" w:hAnsi="宋体" w:cs="宋体"/>
                <w:sz w:val="24"/>
              </w:rPr>
            </w:pPr>
            <w:r>
              <w:rPr>
                <w:rFonts w:hint="eastAsia" w:ascii="宋体" w:hAnsi="宋体" w:cs="宋体"/>
                <w:color w:val="000000"/>
                <w:szCs w:val="21"/>
                <w:lang w:val="en-US" w:eastAsia="zh-CN"/>
              </w:rPr>
              <w:t>女</w:t>
            </w:r>
          </w:p>
        </w:tc>
        <w:tc>
          <w:tcPr>
            <w:tcW w:w="1391" w:type="dxa"/>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b/>
                <w:sz w:val="24"/>
              </w:rPr>
              <w:t>夏装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500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218" w:type="dxa"/>
            <w:vMerge w:val="continue"/>
            <w:noWrap w:val="0"/>
            <w:vAlign w:val="center"/>
          </w:tcPr>
          <w:p>
            <w:pPr>
              <w:spacing w:line="0" w:lineRule="atLeast"/>
              <w:jc w:val="center"/>
              <w:rPr>
                <w:rFonts w:hint="eastAsia" w:ascii="宋体" w:hAnsi="宋体" w:cs="宋体"/>
                <w:sz w:val="24"/>
              </w:rPr>
            </w:pPr>
          </w:p>
        </w:tc>
        <w:tc>
          <w:tcPr>
            <w:tcW w:w="607" w:type="dxa"/>
            <w:vMerge w:val="continue"/>
            <w:noWrap w:val="0"/>
            <w:vAlign w:val="center"/>
          </w:tcPr>
          <w:p>
            <w:pPr>
              <w:spacing w:line="0" w:lineRule="atLeast"/>
              <w:jc w:val="center"/>
              <w:rPr>
                <w:rFonts w:hint="eastAsia" w:ascii="宋体" w:hAnsi="宋体" w:cs="宋体"/>
                <w:sz w:val="24"/>
              </w:rPr>
            </w:pPr>
          </w:p>
        </w:tc>
        <w:tc>
          <w:tcPr>
            <w:tcW w:w="1391" w:type="dxa"/>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b/>
                <w:sz w:val="24"/>
              </w:rPr>
              <w:t>春秋装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500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218" w:type="dxa"/>
            <w:vMerge w:val="continue"/>
            <w:noWrap w:val="0"/>
            <w:vAlign w:val="center"/>
          </w:tcPr>
          <w:p>
            <w:pPr>
              <w:spacing w:line="0" w:lineRule="atLeast"/>
              <w:jc w:val="center"/>
              <w:rPr>
                <w:rFonts w:hint="eastAsia" w:ascii="宋体" w:hAnsi="宋体" w:cs="宋体"/>
                <w:sz w:val="24"/>
              </w:rPr>
            </w:pPr>
          </w:p>
        </w:tc>
        <w:tc>
          <w:tcPr>
            <w:tcW w:w="607" w:type="dxa"/>
            <w:vMerge w:val="continue"/>
            <w:noWrap w:val="0"/>
            <w:vAlign w:val="center"/>
          </w:tcPr>
          <w:p>
            <w:pPr>
              <w:spacing w:line="0" w:lineRule="atLeast"/>
              <w:jc w:val="center"/>
              <w:rPr>
                <w:rFonts w:hint="eastAsia" w:ascii="宋体" w:hAnsi="宋体" w:cs="宋体"/>
                <w:sz w:val="24"/>
              </w:rPr>
            </w:pPr>
          </w:p>
        </w:tc>
        <w:tc>
          <w:tcPr>
            <w:tcW w:w="1391" w:type="dxa"/>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b/>
                <w:sz w:val="24"/>
              </w:rPr>
              <w:t>冬装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500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218" w:type="dxa"/>
            <w:vMerge w:val="continue"/>
            <w:noWrap w:val="0"/>
            <w:vAlign w:val="center"/>
          </w:tcPr>
          <w:p>
            <w:pPr>
              <w:spacing w:line="0" w:lineRule="atLeast"/>
              <w:jc w:val="center"/>
              <w:rPr>
                <w:rFonts w:hint="eastAsia" w:ascii="宋体" w:hAnsi="宋体" w:cs="宋体"/>
                <w:sz w:val="24"/>
              </w:rPr>
            </w:pPr>
          </w:p>
        </w:tc>
        <w:tc>
          <w:tcPr>
            <w:tcW w:w="607" w:type="dxa"/>
            <w:vMerge w:val="continue"/>
            <w:noWrap w:val="0"/>
            <w:vAlign w:val="center"/>
          </w:tcPr>
          <w:p>
            <w:pPr>
              <w:spacing w:line="0" w:lineRule="atLeast"/>
              <w:jc w:val="center"/>
              <w:rPr>
                <w:rFonts w:hint="eastAsia" w:ascii="宋体" w:hAnsi="宋体" w:cs="宋体"/>
                <w:sz w:val="24"/>
              </w:rPr>
            </w:pPr>
          </w:p>
        </w:tc>
        <w:tc>
          <w:tcPr>
            <w:tcW w:w="1391" w:type="dxa"/>
            <w:noWrap w:val="0"/>
            <w:vAlign w:val="center"/>
          </w:tcPr>
          <w:p>
            <w:pPr>
              <w:widowControl/>
              <w:jc w:val="left"/>
              <w:textAlignment w:val="center"/>
              <w:rPr>
                <w:rFonts w:hint="eastAsia" w:ascii="宋体" w:hAnsi="宋体"/>
                <w:b/>
                <w:kern w:val="2"/>
                <w:sz w:val="24"/>
                <w:szCs w:val="24"/>
                <w:lang w:val="en-US" w:eastAsia="zh-CN" w:bidi="ar-SA"/>
              </w:rPr>
            </w:pPr>
            <w:r>
              <w:rPr>
                <w:rFonts w:hint="eastAsia" w:ascii="宋体" w:hAnsi="宋体"/>
                <w:b/>
                <w:sz w:val="24"/>
              </w:rPr>
              <w:t>帽子</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顶</w:t>
            </w:r>
          </w:p>
        </w:tc>
        <w:tc>
          <w:tcPr>
            <w:tcW w:w="702" w:type="dxa"/>
            <w:noWrap w:val="0"/>
            <w:vAlign w:val="center"/>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1000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218" w:type="dxa"/>
            <w:vMerge w:val="restart"/>
            <w:noWrap w:val="0"/>
            <w:vAlign w:val="center"/>
          </w:tcPr>
          <w:p>
            <w:pPr>
              <w:spacing w:line="0" w:lineRule="atLeast"/>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607" w:type="dxa"/>
            <w:vMerge w:val="restart"/>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护</w:t>
            </w:r>
          </w:p>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理</w:t>
            </w:r>
          </w:p>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男</w:t>
            </w:r>
          </w:p>
        </w:tc>
        <w:tc>
          <w:tcPr>
            <w:tcW w:w="1391" w:type="dxa"/>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b/>
                <w:sz w:val="24"/>
              </w:rPr>
              <w:t>夏装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218" w:type="dxa"/>
            <w:vMerge w:val="continue"/>
            <w:noWrap w:val="0"/>
            <w:vAlign w:val="center"/>
          </w:tcPr>
          <w:p>
            <w:pPr>
              <w:spacing w:line="0" w:lineRule="atLeast"/>
              <w:jc w:val="center"/>
              <w:rPr>
                <w:rFonts w:hint="eastAsia" w:ascii="宋体" w:hAnsi="宋体" w:cs="宋体"/>
                <w:sz w:val="24"/>
              </w:rPr>
            </w:pPr>
          </w:p>
        </w:tc>
        <w:tc>
          <w:tcPr>
            <w:tcW w:w="607" w:type="dxa"/>
            <w:vMerge w:val="continue"/>
            <w:noWrap w:val="0"/>
            <w:vAlign w:val="top"/>
          </w:tcPr>
          <w:p>
            <w:pPr>
              <w:spacing w:line="0" w:lineRule="atLeast"/>
              <w:jc w:val="center"/>
              <w:rPr>
                <w:rFonts w:hint="eastAsia" w:ascii="宋体" w:hAnsi="宋体" w:cs="宋体"/>
                <w:sz w:val="24"/>
              </w:rPr>
            </w:pPr>
          </w:p>
        </w:tc>
        <w:tc>
          <w:tcPr>
            <w:tcW w:w="1391" w:type="dxa"/>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b/>
                <w:sz w:val="24"/>
              </w:rPr>
              <w:t>春秋装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218" w:type="dxa"/>
            <w:vMerge w:val="continue"/>
            <w:noWrap w:val="0"/>
            <w:vAlign w:val="center"/>
          </w:tcPr>
          <w:p>
            <w:pPr>
              <w:spacing w:line="0" w:lineRule="atLeast"/>
              <w:jc w:val="center"/>
              <w:rPr>
                <w:rFonts w:hint="eastAsia" w:ascii="宋体" w:hAnsi="宋体" w:cs="宋体"/>
                <w:sz w:val="24"/>
              </w:rPr>
            </w:pPr>
          </w:p>
        </w:tc>
        <w:tc>
          <w:tcPr>
            <w:tcW w:w="607" w:type="dxa"/>
            <w:vMerge w:val="continue"/>
            <w:noWrap w:val="0"/>
            <w:vAlign w:val="top"/>
          </w:tcPr>
          <w:p>
            <w:pPr>
              <w:spacing w:line="0" w:lineRule="atLeast"/>
              <w:jc w:val="center"/>
              <w:rPr>
                <w:rFonts w:hint="eastAsia" w:ascii="宋体" w:hAnsi="宋体" w:cs="宋体"/>
                <w:sz w:val="24"/>
              </w:rPr>
            </w:pPr>
          </w:p>
        </w:tc>
        <w:tc>
          <w:tcPr>
            <w:tcW w:w="1391" w:type="dxa"/>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b/>
                <w:sz w:val="24"/>
              </w:rPr>
              <w:t>冬装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18" w:type="dxa"/>
            <w:vMerge w:val="continue"/>
            <w:noWrap w:val="0"/>
            <w:vAlign w:val="center"/>
          </w:tcPr>
          <w:p>
            <w:pPr>
              <w:spacing w:line="0" w:lineRule="atLeast"/>
              <w:jc w:val="center"/>
              <w:rPr>
                <w:rFonts w:hint="eastAsia" w:ascii="宋体" w:hAnsi="宋体" w:cs="宋体"/>
                <w:sz w:val="24"/>
              </w:rPr>
            </w:pPr>
          </w:p>
        </w:tc>
        <w:tc>
          <w:tcPr>
            <w:tcW w:w="607" w:type="dxa"/>
            <w:vMerge w:val="continue"/>
            <w:noWrap w:val="0"/>
            <w:vAlign w:val="top"/>
          </w:tcPr>
          <w:p>
            <w:pPr>
              <w:spacing w:line="0" w:lineRule="atLeast"/>
              <w:jc w:val="center"/>
              <w:rPr>
                <w:rFonts w:hint="eastAsia" w:ascii="宋体" w:hAnsi="宋体" w:cs="宋体"/>
                <w:sz w:val="24"/>
              </w:rPr>
            </w:pPr>
          </w:p>
        </w:tc>
        <w:tc>
          <w:tcPr>
            <w:tcW w:w="1391" w:type="dxa"/>
            <w:noWrap w:val="0"/>
            <w:vAlign w:val="center"/>
          </w:tcPr>
          <w:p>
            <w:pPr>
              <w:widowControl/>
              <w:jc w:val="left"/>
              <w:textAlignment w:val="center"/>
              <w:rPr>
                <w:rFonts w:hint="eastAsia" w:ascii="宋体" w:hAnsi="宋体"/>
                <w:b/>
                <w:kern w:val="2"/>
                <w:sz w:val="24"/>
                <w:szCs w:val="24"/>
                <w:lang w:val="en-US" w:eastAsia="zh-CN" w:bidi="ar-SA"/>
              </w:rPr>
            </w:pPr>
            <w:r>
              <w:rPr>
                <w:rFonts w:hint="eastAsia" w:ascii="宋体" w:hAnsi="宋体"/>
                <w:b/>
                <w:sz w:val="24"/>
              </w:rPr>
              <w:t>帽子</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顶</w:t>
            </w:r>
          </w:p>
        </w:tc>
        <w:tc>
          <w:tcPr>
            <w:tcW w:w="702" w:type="dxa"/>
            <w:noWrap w:val="0"/>
            <w:vAlign w:val="center"/>
          </w:tcPr>
          <w:p>
            <w:pPr>
              <w:spacing w:line="0" w:lineRule="atLeas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18" w:type="dxa"/>
            <w:vMerge w:val="restart"/>
            <w:noWrap w:val="0"/>
            <w:vAlign w:val="center"/>
          </w:tcPr>
          <w:p>
            <w:pPr>
              <w:spacing w:line="0" w:lineRule="atLeast"/>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607" w:type="dxa"/>
            <w:vMerge w:val="restart"/>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医</w:t>
            </w:r>
          </w:p>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生</w:t>
            </w:r>
          </w:p>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服</w:t>
            </w:r>
          </w:p>
          <w:p>
            <w:pPr>
              <w:widowControl/>
              <w:jc w:val="center"/>
              <w:textAlignment w:val="center"/>
              <w:rPr>
                <w:rFonts w:hint="eastAsia" w:ascii="宋体" w:hAnsi="宋体" w:cs="宋体"/>
                <w:color w:val="000000"/>
                <w:kern w:val="2"/>
                <w:sz w:val="21"/>
                <w:szCs w:val="21"/>
                <w:lang w:val="en-US" w:eastAsia="zh-CN" w:bidi="ar-SA"/>
              </w:rPr>
            </w:pPr>
            <w:r>
              <w:rPr>
                <w:rFonts w:hint="eastAsia" w:ascii="宋体" w:hAnsi="宋体" w:cs="宋体"/>
                <w:color w:val="000000"/>
                <w:kern w:val="0"/>
                <w:szCs w:val="21"/>
                <w:lang w:bidi="ar"/>
              </w:rPr>
              <w:t>女</w:t>
            </w:r>
          </w:p>
        </w:tc>
        <w:tc>
          <w:tcPr>
            <w:tcW w:w="1391" w:type="dxa"/>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b/>
                <w:sz w:val="24"/>
              </w:rPr>
              <w:t>夏装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1700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218" w:type="dxa"/>
            <w:vMerge w:val="continue"/>
            <w:noWrap w:val="0"/>
            <w:vAlign w:val="center"/>
          </w:tcPr>
          <w:p>
            <w:pPr>
              <w:spacing w:line="0" w:lineRule="atLeast"/>
              <w:jc w:val="center"/>
              <w:rPr>
                <w:rFonts w:hint="eastAsia" w:ascii="宋体" w:hAnsi="宋体" w:cs="宋体"/>
                <w:sz w:val="24"/>
              </w:rPr>
            </w:pPr>
          </w:p>
        </w:tc>
        <w:tc>
          <w:tcPr>
            <w:tcW w:w="607" w:type="dxa"/>
            <w:vMerge w:val="continue"/>
            <w:noWrap w:val="0"/>
            <w:vAlign w:val="top"/>
          </w:tcPr>
          <w:p>
            <w:pPr>
              <w:spacing w:line="0" w:lineRule="atLeast"/>
              <w:jc w:val="center"/>
              <w:rPr>
                <w:rFonts w:hint="eastAsia" w:ascii="宋体" w:hAnsi="宋体" w:cs="宋体"/>
                <w:sz w:val="24"/>
              </w:rPr>
            </w:pPr>
          </w:p>
        </w:tc>
        <w:tc>
          <w:tcPr>
            <w:tcW w:w="1391" w:type="dxa"/>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b/>
                <w:sz w:val="24"/>
              </w:rPr>
              <w:t>冬装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1700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218" w:type="dxa"/>
            <w:vMerge w:val="continue"/>
            <w:noWrap w:val="0"/>
            <w:vAlign w:val="center"/>
          </w:tcPr>
          <w:p>
            <w:pPr>
              <w:spacing w:line="0" w:lineRule="atLeast"/>
              <w:jc w:val="center"/>
              <w:rPr>
                <w:rFonts w:hint="eastAsia" w:ascii="宋体" w:hAnsi="宋体" w:cs="宋体"/>
                <w:sz w:val="24"/>
              </w:rPr>
            </w:pPr>
          </w:p>
        </w:tc>
        <w:tc>
          <w:tcPr>
            <w:tcW w:w="607" w:type="dxa"/>
            <w:vMerge w:val="continue"/>
            <w:noWrap w:val="0"/>
            <w:vAlign w:val="top"/>
          </w:tcPr>
          <w:p>
            <w:pPr>
              <w:spacing w:line="0" w:lineRule="atLeast"/>
              <w:jc w:val="center"/>
              <w:rPr>
                <w:rFonts w:hint="eastAsia" w:ascii="宋体" w:hAnsi="宋体" w:cs="宋体"/>
                <w:sz w:val="24"/>
              </w:rPr>
            </w:pPr>
          </w:p>
        </w:tc>
        <w:tc>
          <w:tcPr>
            <w:tcW w:w="1391" w:type="dxa"/>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b/>
                <w:sz w:val="24"/>
              </w:rPr>
              <w:t>帽子</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顶</w:t>
            </w:r>
          </w:p>
        </w:tc>
        <w:tc>
          <w:tcPr>
            <w:tcW w:w="702" w:type="dxa"/>
            <w:noWrap w:val="0"/>
            <w:vAlign w:val="center"/>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1700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218" w:type="dxa"/>
            <w:vMerge w:val="restart"/>
            <w:noWrap w:val="0"/>
            <w:vAlign w:val="center"/>
          </w:tcPr>
          <w:p>
            <w:pPr>
              <w:spacing w:line="0" w:lineRule="atLeast"/>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607" w:type="dxa"/>
            <w:vMerge w:val="restart"/>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医</w:t>
            </w:r>
          </w:p>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生</w:t>
            </w:r>
          </w:p>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服</w:t>
            </w:r>
          </w:p>
          <w:p>
            <w:pPr>
              <w:widowControl/>
              <w:jc w:val="center"/>
              <w:textAlignment w:val="center"/>
              <w:rPr>
                <w:rFonts w:hint="eastAsia" w:ascii="宋体" w:hAnsi="宋体" w:cs="宋体"/>
                <w:sz w:val="24"/>
              </w:rPr>
            </w:pPr>
            <w:r>
              <w:rPr>
                <w:rFonts w:hint="eastAsia" w:ascii="宋体" w:hAnsi="宋体" w:cs="宋体"/>
                <w:color w:val="000000"/>
                <w:kern w:val="2"/>
                <w:sz w:val="21"/>
                <w:szCs w:val="21"/>
                <w:lang w:val="en-US" w:eastAsia="zh-CN" w:bidi="ar-SA"/>
              </w:rPr>
              <w:t>男</w:t>
            </w:r>
          </w:p>
        </w:tc>
        <w:tc>
          <w:tcPr>
            <w:tcW w:w="1391" w:type="dxa"/>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b/>
                <w:sz w:val="24"/>
              </w:rPr>
              <w:t>夏装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1500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218" w:type="dxa"/>
            <w:vMerge w:val="continue"/>
            <w:noWrap w:val="0"/>
            <w:vAlign w:val="center"/>
          </w:tcPr>
          <w:p>
            <w:pPr>
              <w:spacing w:line="0" w:lineRule="atLeast"/>
              <w:jc w:val="center"/>
              <w:rPr>
                <w:rFonts w:hint="eastAsia" w:ascii="宋体" w:hAnsi="宋体" w:cs="宋体"/>
                <w:sz w:val="24"/>
              </w:rPr>
            </w:pPr>
          </w:p>
        </w:tc>
        <w:tc>
          <w:tcPr>
            <w:tcW w:w="607" w:type="dxa"/>
            <w:vMerge w:val="continue"/>
            <w:noWrap w:val="0"/>
            <w:vAlign w:val="top"/>
          </w:tcPr>
          <w:p>
            <w:pPr>
              <w:spacing w:line="0" w:lineRule="atLeast"/>
              <w:jc w:val="center"/>
              <w:rPr>
                <w:rFonts w:hint="eastAsia" w:ascii="宋体" w:hAnsi="宋体" w:cs="宋体"/>
                <w:sz w:val="24"/>
              </w:rPr>
            </w:pPr>
          </w:p>
        </w:tc>
        <w:tc>
          <w:tcPr>
            <w:tcW w:w="1391" w:type="dxa"/>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b/>
                <w:sz w:val="24"/>
              </w:rPr>
              <w:t>冬装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1500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1218" w:type="dxa"/>
            <w:vMerge w:val="continue"/>
            <w:noWrap w:val="0"/>
            <w:vAlign w:val="center"/>
          </w:tcPr>
          <w:p>
            <w:pPr>
              <w:spacing w:line="0" w:lineRule="atLeast"/>
              <w:jc w:val="center"/>
              <w:rPr>
                <w:rFonts w:hint="eastAsia" w:ascii="宋体" w:hAnsi="宋体" w:cs="宋体"/>
                <w:sz w:val="24"/>
              </w:rPr>
            </w:pPr>
          </w:p>
        </w:tc>
        <w:tc>
          <w:tcPr>
            <w:tcW w:w="607" w:type="dxa"/>
            <w:vMerge w:val="continue"/>
            <w:noWrap w:val="0"/>
            <w:vAlign w:val="top"/>
          </w:tcPr>
          <w:p>
            <w:pPr>
              <w:spacing w:line="0" w:lineRule="atLeast"/>
              <w:jc w:val="center"/>
              <w:rPr>
                <w:rFonts w:hint="eastAsia" w:ascii="宋体" w:hAnsi="宋体" w:cs="宋体"/>
                <w:sz w:val="24"/>
              </w:rPr>
            </w:pPr>
          </w:p>
        </w:tc>
        <w:tc>
          <w:tcPr>
            <w:tcW w:w="1391" w:type="dxa"/>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b/>
                <w:sz w:val="24"/>
              </w:rPr>
              <w:t>帽子</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顶</w:t>
            </w:r>
          </w:p>
        </w:tc>
        <w:tc>
          <w:tcPr>
            <w:tcW w:w="702" w:type="dxa"/>
            <w:noWrap w:val="0"/>
            <w:vAlign w:val="center"/>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1500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218" w:type="dxa"/>
            <w:vMerge w:val="restart"/>
            <w:noWrap w:val="0"/>
            <w:vAlign w:val="center"/>
          </w:tcPr>
          <w:p>
            <w:pPr>
              <w:spacing w:line="0" w:lineRule="atLeast"/>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607" w:type="dxa"/>
            <w:vMerge w:val="restart"/>
            <w:noWrap w:val="0"/>
            <w:vAlign w:val="top"/>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男教师服</w:t>
            </w:r>
          </w:p>
        </w:tc>
        <w:tc>
          <w:tcPr>
            <w:tcW w:w="1391" w:type="dxa"/>
            <w:noWrap w:val="0"/>
            <w:vAlign w:val="center"/>
          </w:tcPr>
          <w:p>
            <w:pPr>
              <w:widowControl/>
              <w:jc w:val="left"/>
              <w:textAlignment w:val="center"/>
              <w:rPr>
                <w:rFonts w:hint="eastAsia" w:ascii="宋体" w:hAnsi="宋体"/>
                <w:b/>
                <w:kern w:val="2"/>
                <w:sz w:val="24"/>
                <w:szCs w:val="24"/>
                <w:lang w:val="en-US" w:eastAsia="zh-CN" w:bidi="ar-SA"/>
              </w:rPr>
            </w:pPr>
            <w:r>
              <w:rPr>
                <w:rFonts w:hint="eastAsia" w:ascii="宋体" w:hAnsi="宋体"/>
                <w:b/>
                <w:sz w:val="24"/>
              </w:rPr>
              <w:t>夏装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cs="宋体"/>
                <w:sz w:val="24"/>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100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218" w:type="dxa"/>
            <w:vMerge w:val="continue"/>
            <w:noWrap w:val="0"/>
            <w:vAlign w:val="top"/>
          </w:tcPr>
          <w:p>
            <w:pPr>
              <w:spacing w:line="0" w:lineRule="atLeast"/>
              <w:jc w:val="center"/>
              <w:rPr>
                <w:rFonts w:hint="eastAsia" w:ascii="宋体" w:hAnsi="宋体" w:cs="宋体"/>
                <w:sz w:val="24"/>
              </w:rPr>
            </w:pPr>
          </w:p>
        </w:tc>
        <w:tc>
          <w:tcPr>
            <w:tcW w:w="607" w:type="dxa"/>
            <w:vMerge w:val="continue"/>
            <w:noWrap w:val="0"/>
            <w:vAlign w:val="top"/>
          </w:tcPr>
          <w:p>
            <w:pPr>
              <w:spacing w:line="0" w:lineRule="atLeast"/>
              <w:jc w:val="center"/>
              <w:rPr>
                <w:rFonts w:hint="eastAsia" w:ascii="宋体" w:hAnsi="宋体" w:cs="宋体"/>
                <w:sz w:val="24"/>
              </w:rPr>
            </w:pPr>
          </w:p>
        </w:tc>
        <w:tc>
          <w:tcPr>
            <w:tcW w:w="1391" w:type="dxa"/>
            <w:noWrap w:val="0"/>
            <w:vAlign w:val="center"/>
          </w:tcPr>
          <w:p>
            <w:pPr>
              <w:widowControl/>
              <w:jc w:val="left"/>
              <w:textAlignment w:val="center"/>
              <w:rPr>
                <w:rFonts w:hint="eastAsia" w:ascii="宋体" w:hAnsi="宋体"/>
                <w:b/>
                <w:kern w:val="2"/>
                <w:sz w:val="24"/>
                <w:szCs w:val="24"/>
                <w:lang w:val="en-US" w:eastAsia="zh-CN" w:bidi="ar-SA"/>
              </w:rPr>
            </w:pPr>
            <w:r>
              <w:rPr>
                <w:rFonts w:hint="eastAsia" w:ascii="宋体" w:hAnsi="宋体"/>
                <w:b/>
                <w:sz w:val="24"/>
              </w:rPr>
              <w:t>冬装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cs="宋体"/>
                <w:sz w:val="24"/>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100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18" w:type="dxa"/>
            <w:vMerge w:val="restart"/>
            <w:noWrap w:val="0"/>
            <w:vAlign w:val="top"/>
          </w:tcPr>
          <w:p>
            <w:pPr>
              <w:spacing w:line="0" w:lineRule="atLeast"/>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607" w:type="dxa"/>
            <w:vMerge w:val="restart"/>
            <w:noWrap w:val="0"/>
            <w:vAlign w:val="top"/>
          </w:tcPr>
          <w:p>
            <w:pPr>
              <w:spacing w:line="0" w:lineRule="atLeast"/>
              <w:jc w:val="center"/>
              <w:rPr>
                <w:rFonts w:hint="eastAsia" w:ascii="宋体" w:hAnsi="宋体" w:cs="宋体"/>
                <w:sz w:val="24"/>
              </w:rPr>
            </w:pPr>
            <w:r>
              <w:rPr>
                <w:rFonts w:hint="eastAsia" w:ascii="宋体" w:hAnsi="宋体" w:cs="宋体"/>
                <w:sz w:val="24"/>
                <w:lang w:val="en-US" w:eastAsia="zh-CN"/>
              </w:rPr>
              <w:t>女教师服</w:t>
            </w:r>
          </w:p>
        </w:tc>
        <w:tc>
          <w:tcPr>
            <w:tcW w:w="1391" w:type="dxa"/>
            <w:noWrap w:val="0"/>
            <w:vAlign w:val="center"/>
          </w:tcPr>
          <w:p>
            <w:pPr>
              <w:widowControl/>
              <w:jc w:val="left"/>
              <w:textAlignment w:val="center"/>
              <w:rPr>
                <w:rFonts w:hint="eastAsia" w:ascii="宋体" w:hAnsi="宋体"/>
                <w:b/>
                <w:sz w:val="24"/>
              </w:rPr>
            </w:pPr>
            <w:r>
              <w:rPr>
                <w:rFonts w:hint="eastAsia" w:ascii="宋体" w:hAnsi="宋体"/>
                <w:b/>
                <w:sz w:val="24"/>
              </w:rPr>
              <w:t>夏装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cs="宋体"/>
                <w:sz w:val="24"/>
                <w:lang w:val="en-US" w:eastAsia="zh-CN"/>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cs="宋体"/>
                <w:sz w:val="24"/>
                <w:lang w:val="en-US" w:eastAsia="zh-CN"/>
              </w:rPr>
            </w:pPr>
            <w:r>
              <w:rPr>
                <w:rFonts w:hint="eastAsia" w:ascii="宋体" w:hAnsi="宋体" w:cs="宋体"/>
                <w:sz w:val="24"/>
                <w:lang w:val="en-US" w:eastAsia="zh-CN"/>
              </w:rPr>
              <w:t>50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18" w:type="dxa"/>
            <w:vMerge w:val="continue"/>
            <w:noWrap w:val="0"/>
            <w:vAlign w:val="top"/>
          </w:tcPr>
          <w:p>
            <w:pPr>
              <w:spacing w:line="0" w:lineRule="atLeast"/>
              <w:jc w:val="center"/>
              <w:rPr>
                <w:rFonts w:hint="eastAsia" w:ascii="宋体" w:hAnsi="宋体" w:cs="宋体"/>
                <w:sz w:val="24"/>
              </w:rPr>
            </w:pPr>
          </w:p>
        </w:tc>
        <w:tc>
          <w:tcPr>
            <w:tcW w:w="607" w:type="dxa"/>
            <w:vMerge w:val="continue"/>
            <w:noWrap w:val="0"/>
            <w:vAlign w:val="top"/>
          </w:tcPr>
          <w:p>
            <w:pPr>
              <w:spacing w:line="0" w:lineRule="atLeast"/>
              <w:jc w:val="center"/>
              <w:rPr>
                <w:rFonts w:hint="eastAsia" w:ascii="宋体" w:hAnsi="宋体" w:cs="宋体"/>
                <w:sz w:val="24"/>
              </w:rPr>
            </w:pPr>
          </w:p>
        </w:tc>
        <w:tc>
          <w:tcPr>
            <w:tcW w:w="1391" w:type="dxa"/>
            <w:noWrap w:val="0"/>
            <w:vAlign w:val="center"/>
          </w:tcPr>
          <w:p>
            <w:pPr>
              <w:widowControl/>
              <w:jc w:val="left"/>
              <w:textAlignment w:val="center"/>
              <w:rPr>
                <w:rFonts w:hint="eastAsia" w:ascii="宋体" w:hAnsi="宋体"/>
                <w:b/>
                <w:sz w:val="24"/>
              </w:rPr>
            </w:pPr>
            <w:r>
              <w:rPr>
                <w:rFonts w:hint="eastAsia" w:ascii="宋体" w:hAnsi="宋体"/>
                <w:b/>
                <w:sz w:val="24"/>
              </w:rPr>
              <w:t>冬装</w:t>
            </w:r>
          </w:p>
        </w:tc>
        <w:tc>
          <w:tcPr>
            <w:tcW w:w="1751" w:type="dxa"/>
            <w:noWrap w:val="0"/>
            <w:vAlign w:val="top"/>
          </w:tcPr>
          <w:p>
            <w:pPr>
              <w:spacing w:line="0" w:lineRule="atLeast"/>
              <w:rPr>
                <w:rFonts w:hint="eastAsia" w:ascii="宋体" w:hAnsi="宋体" w:cs="宋体"/>
                <w:sz w:val="24"/>
              </w:rPr>
            </w:pPr>
          </w:p>
        </w:tc>
        <w:tc>
          <w:tcPr>
            <w:tcW w:w="1303" w:type="dxa"/>
            <w:noWrap w:val="0"/>
            <w:vAlign w:val="top"/>
          </w:tcPr>
          <w:p>
            <w:pPr>
              <w:spacing w:line="0" w:lineRule="atLeast"/>
              <w:rPr>
                <w:rFonts w:hint="eastAsia" w:ascii="宋体" w:hAnsi="宋体" w:cs="宋体"/>
                <w:sz w:val="24"/>
              </w:rPr>
            </w:pPr>
          </w:p>
        </w:tc>
        <w:tc>
          <w:tcPr>
            <w:tcW w:w="964" w:type="dxa"/>
            <w:noWrap w:val="0"/>
            <w:vAlign w:val="center"/>
          </w:tcPr>
          <w:p>
            <w:pPr>
              <w:spacing w:line="0" w:lineRule="atLeast"/>
              <w:jc w:val="center"/>
              <w:rPr>
                <w:rFonts w:hint="eastAsia" w:ascii="宋体" w:hAnsi="宋体" w:cs="宋体"/>
                <w:sz w:val="24"/>
                <w:lang w:val="en-US" w:eastAsia="zh-CN"/>
              </w:rPr>
            </w:pPr>
            <w:r>
              <w:rPr>
                <w:rFonts w:hint="eastAsia" w:ascii="宋体" w:hAnsi="宋体" w:cs="宋体"/>
                <w:sz w:val="24"/>
                <w:lang w:val="en-US" w:eastAsia="zh-CN"/>
              </w:rPr>
              <w:t>套</w:t>
            </w:r>
          </w:p>
        </w:tc>
        <w:tc>
          <w:tcPr>
            <w:tcW w:w="702" w:type="dxa"/>
            <w:noWrap w:val="0"/>
            <w:vAlign w:val="center"/>
          </w:tcPr>
          <w:p>
            <w:pPr>
              <w:spacing w:line="0" w:lineRule="atLeast"/>
              <w:jc w:val="center"/>
              <w:rPr>
                <w:rFonts w:hint="default" w:ascii="宋体" w:hAnsi="宋体" w:cs="宋体"/>
                <w:sz w:val="24"/>
                <w:lang w:val="en-US" w:eastAsia="zh-CN"/>
              </w:rPr>
            </w:pPr>
            <w:r>
              <w:rPr>
                <w:rFonts w:hint="eastAsia" w:ascii="宋体" w:hAnsi="宋体" w:cs="宋体"/>
                <w:sz w:val="24"/>
                <w:lang w:val="en-US" w:eastAsia="zh-CN"/>
              </w:rPr>
              <w:t>50</w:t>
            </w:r>
          </w:p>
        </w:tc>
        <w:tc>
          <w:tcPr>
            <w:tcW w:w="938" w:type="dxa"/>
            <w:noWrap w:val="0"/>
            <w:vAlign w:val="top"/>
          </w:tcPr>
          <w:p>
            <w:pPr>
              <w:spacing w:line="0" w:lineRule="atLeast"/>
              <w:rPr>
                <w:rFonts w:hint="eastAsia" w:ascii="宋体" w:hAnsi="宋体" w:cs="宋体"/>
                <w:sz w:val="24"/>
              </w:rPr>
            </w:pPr>
          </w:p>
        </w:tc>
        <w:tc>
          <w:tcPr>
            <w:tcW w:w="771" w:type="dxa"/>
            <w:noWrap w:val="0"/>
            <w:vAlign w:val="top"/>
          </w:tcPr>
          <w:p>
            <w:pPr>
              <w:spacing w:line="0" w:lineRule="atLeas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825" w:type="dxa"/>
            <w:gridSpan w:val="2"/>
            <w:noWrap w:val="0"/>
            <w:vAlign w:val="top"/>
          </w:tcPr>
          <w:p>
            <w:pPr>
              <w:spacing w:line="0" w:lineRule="atLeast"/>
              <w:jc w:val="center"/>
              <w:rPr>
                <w:rFonts w:hint="default" w:ascii="宋体" w:hAnsi="宋体" w:eastAsia="宋体" w:cs="宋体"/>
                <w:sz w:val="24"/>
                <w:lang w:val="en-US" w:eastAsia="zh-CN"/>
              </w:rPr>
            </w:pPr>
            <w:r>
              <w:rPr>
                <w:rFonts w:hint="eastAsia" w:ascii="宋体" w:hAnsi="宋体" w:cs="宋体"/>
                <w:sz w:val="24"/>
                <w:lang w:val="en-US" w:eastAsia="zh-CN"/>
              </w:rPr>
              <w:t>合计（元）</w:t>
            </w:r>
          </w:p>
        </w:tc>
        <w:tc>
          <w:tcPr>
            <w:tcW w:w="7820" w:type="dxa"/>
            <w:gridSpan w:val="7"/>
            <w:noWrap w:val="0"/>
            <w:vAlign w:val="center"/>
          </w:tcPr>
          <w:p>
            <w:pPr>
              <w:spacing w:line="0" w:lineRule="atLeast"/>
              <w:rPr>
                <w:rFonts w:hint="eastAsia" w:ascii="宋体" w:hAnsi="宋体" w:cs="宋体"/>
                <w:sz w:val="24"/>
              </w:rPr>
            </w:pPr>
          </w:p>
        </w:tc>
      </w:tr>
    </w:tbl>
    <w:p>
      <w:pPr>
        <w:snapToGrid w:val="0"/>
        <w:spacing w:before="50" w:after="50" w:line="360" w:lineRule="auto"/>
        <w:jc w:val="left"/>
        <w:rPr>
          <w:rFonts w:hint="eastAsia" w:ascii="宋体" w:hAnsi="宋体"/>
          <w:spacing w:val="-6"/>
          <w:sz w:val="24"/>
          <w:szCs w:val="24"/>
        </w:rPr>
      </w:pPr>
    </w:p>
    <w:p>
      <w:pPr>
        <w:snapToGrid w:val="0"/>
        <w:spacing w:before="50" w:after="50" w:line="360" w:lineRule="auto"/>
        <w:jc w:val="left"/>
        <w:rPr>
          <w:rFonts w:hint="eastAsia"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3"/>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3"/>
          <w:rFonts w:ascii="华文中宋" w:hAnsi="华文中宋" w:eastAsia="华文中宋"/>
          <w:color w:val="auto"/>
          <w:sz w:val="28"/>
          <w:szCs w:val="28"/>
        </w:rPr>
      </w:pPr>
      <w:r>
        <w:rPr>
          <w:rStyle w:val="63"/>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5"/>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3"/>
          <w:rFonts w:ascii="华文中宋" w:hAnsi="华文中宋" w:eastAsia="华文中宋"/>
          <w:color w:val="auto"/>
          <w:sz w:val="28"/>
          <w:szCs w:val="28"/>
        </w:rPr>
      </w:pPr>
      <w:r>
        <w:rPr>
          <w:rFonts w:hAnsi="宋体"/>
          <w:sz w:val="32"/>
          <w:szCs w:val="32"/>
        </w:rPr>
        <w:br w:type="page"/>
      </w:r>
      <w:r>
        <w:rPr>
          <w:rStyle w:val="63"/>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24" w:name="_Toc49090582"/>
      <w:bookmarkStart w:id="125" w:name="_Toc26554103"/>
      <w:bookmarkStart w:id="126" w:name="_Toc24878535"/>
      <w:bookmarkStart w:id="127" w:name="_Toc23828483"/>
      <w:bookmarkStart w:id="128" w:name="_Toc22356583"/>
      <w:bookmarkStart w:id="129" w:name="_Toc513029281"/>
      <w:bookmarkStart w:id="130" w:name="_Toc120614291"/>
      <w:bookmarkStart w:id="131"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24"/>
      <w:bookmarkEnd w:id="125"/>
      <w:bookmarkEnd w:id="126"/>
      <w:bookmarkEnd w:id="127"/>
      <w:bookmarkEnd w:id="128"/>
      <w:bookmarkEnd w:id="129"/>
      <w:bookmarkEnd w:id="130"/>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5"/>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37"/>
        <w:ind w:firstLine="0" w:firstLineChars="0"/>
        <w:rPr>
          <w:rFonts w:hint="eastAsia" w:hAnsi="宋体" w:eastAsia="宋体"/>
          <w:sz w:val="24"/>
          <w:szCs w:val="24"/>
        </w:rPr>
      </w:pPr>
    </w:p>
    <w:bookmarkEnd w:id="131"/>
    <w:p>
      <w:pPr>
        <w:jc w:val="center"/>
        <w:rPr>
          <w:rStyle w:val="63"/>
          <w:rFonts w:ascii="华文中宋" w:hAnsi="华文中宋" w:eastAsia="华文中宋"/>
          <w:b w:val="0"/>
          <w:color w:val="auto"/>
          <w:sz w:val="28"/>
          <w:szCs w:val="28"/>
        </w:rPr>
      </w:pPr>
      <w:bookmarkStart w:id="132" w:name="_Toc460901585"/>
      <w:bookmarkStart w:id="133" w:name="_Toc22356580"/>
      <w:bookmarkStart w:id="134" w:name="_Toc120614283"/>
      <w:bookmarkStart w:id="135" w:name="_Toc23828478"/>
      <w:bookmarkStart w:id="136" w:name="_Toc49090577"/>
      <w:bookmarkStart w:id="137" w:name="_Toc513029276"/>
      <w:bookmarkStart w:id="138" w:name="_Toc26554095"/>
      <w:r>
        <w:rPr>
          <w:rFonts w:hint="eastAsia" w:ascii="华文中宋" w:hAnsi="华文中宋" w:eastAsia="华文中宋"/>
          <w:b/>
          <w:spacing w:val="-6"/>
          <w:szCs w:val="28"/>
        </w:rPr>
        <w:t>四、</w:t>
      </w:r>
      <w:r>
        <w:rPr>
          <w:rStyle w:val="63"/>
          <w:rFonts w:hint="eastAsia" w:ascii="华文中宋" w:hAnsi="华文中宋" w:eastAsia="华文中宋"/>
          <w:color w:val="auto"/>
          <w:sz w:val="28"/>
          <w:szCs w:val="28"/>
        </w:rPr>
        <w:t>磋商函格式</w:t>
      </w:r>
    </w:p>
    <w:bookmarkEnd w:id="132"/>
    <w:bookmarkEnd w:id="133"/>
    <w:bookmarkEnd w:id="134"/>
    <w:bookmarkEnd w:id="135"/>
    <w:bookmarkEnd w:id="136"/>
    <w:bookmarkEnd w:id="137"/>
    <w:bookmarkEnd w:id="138"/>
    <w:p>
      <w:pPr>
        <w:tabs>
          <w:tab w:val="left" w:pos="5580"/>
        </w:tabs>
        <w:spacing w:line="480" w:lineRule="exact"/>
        <w:rPr>
          <w:rStyle w:val="63"/>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w:t>
      </w:r>
      <w:r>
        <w:rPr>
          <w:rFonts w:hint="eastAsia" w:ascii="仿宋_GB2312" w:hAnsi="宋体" w:eastAsia="仿宋_GB2312"/>
          <w:b/>
          <w:bCs/>
          <w:sz w:val="28"/>
          <w:szCs w:val="28"/>
        </w:rPr>
        <w:t>业绩、售后服务、所投主要产品品牌等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9"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9"/>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40" w:name="OLE_LINK1"/>
      <w:bookmarkStart w:id="141" w:name="OLE_LINK3"/>
      <w:bookmarkStart w:id="142" w:name="OLE_LINK2"/>
      <w:r>
        <w:rPr>
          <w:rFonts w:hint="eastAsia" w:ascii="仿宋_GB2312" w:hAnsi="宋体" w:eastAsia="仿宋_GB2312" w:cs="宋体"/>
          <w:sz w:val="24"/>
          <w:szCs w:val="24"/>
        </w:rPr>
        <w:t>学校采购活动</w:t>
      </w:r>
      <w:bookmarkEnd w:id="140"/>
      <w:bookmarkEnd w:id="141"/>
      <w:bookmarkEnd w:id="142"/>
      <w:r>
        <w:rPr>
          <w:rFonts w:hint="eastAsia" w:ascii="仿宋_GB2312" w:hAnsi="宋体" w:eastAsia="仿宋_GB2312" w:cs="宋体"/>
          <w:sz w:val="24"/>
          <w:szCs w:val="24"/>
        </w:rPr>
        <w:t>质疑的提出和答复、投诉的提起和处理。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43" w:name="OLE_LINK7"/>
      <w:bookmarkStart w:id="144" w:name="OLE_LINK6"/>
      <w:bookmarkStart w:id="145" w:name="OLE_LINK4"/>
      <w:bookmarkStart w:id="146" w:name="OLE_LINK5"/>
      <w:bookmarkStart w:id="147" w:name="OLE_LINK8"/>
      <w:bookmarkStart w:id="148" w:name="OLE_LINK9"/>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43"/>
      <w:bookmarkEnd w:id="144"/>
      <w:bookmarkEnd w:id="145"/>
      <w:bookmarkEnd w:id="146"/>
      <w:bookmarkEnd w:id="147"/>
      <w:bookmarkEnd w:id="148"/>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9" w:name="OLE_LINK76"/>
      <w:bookmarkStart w:id="150" w:name="OLE_LINK78"/>
      <w:bookmarkStart w:id="151" w:name="OLE_LINK77"/>
      <w:r>
        <w:rPr>
          <w:rFonts w:hint="eastAsia" w:ascii="仿宋_GB2312" w:hAnsi="微软雅黑" w:eastAsia="仿宋_GB2312"/>
          <w:sz w:val="24"/>
          <w:szCs w:val="24"/>
        </w:rPr>
        <w:t>国资处、采购代理机构</w:t>
      </w:r>
      <w:bookmarkEnd w:id="149"/>
      <w:bookmarkEnd w:id="150"/>
      <w:bookmarkEnd w:id="151"/>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3"/>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8"/>
          <w:rFonts w:hint="eastAsia" w:ascii="黑体" w:hAnsi="黑体" w:eastAsia="黑体"/>
          <w:sz w:val="30"/>
          <w:szCs w:val="30"/>
        </w:rPr>
        <w:t xml:space="preserve">第五章 </w:t>
      </w:r>
      <w:r>
        <w:rPr>
          <w:rStyle w:val="28"/>
          <w:rFonts w:hint="eastAsia" w:ascii="微软雅黑" w:hAnsi="微软雅黑" w:eastAsia="黑体"/>
          <w:sz w:val="30"/>
          <w:szCs w:val="30"/>
        </w:rPr>
        <w:t> </w:t>
      </w:r>
      <w:r>
        <w:rPr>
          <w:rStyle w:val="28"/>
          <w:rFonts w:hint="eastAsia" w:ascii="黑体" w:hAnsi="黑体" w:eastAsia="黑体"/>
          <w:sz w:val="30"/>
          <w:szCs w:val="30"/>
        </w:rPr>
        <w:t>投诉的处理</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52" w:name="OLE_LINK12"/>
      <w:bookmarkStart w:id="153" w:name="OLE_LINK13"/>
      <w:bookmarkStart w:id="154" w:name="OLE_LINK11"/>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2"/>
      <w:bookmarkEnd w:id="153"/>
      <w:bookmarkEnd w:id="154"/>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55" w:name="OLE_LINK15"/>
      <w:bookmarkStart w:id="156" w:name="OLE_LINK14"/>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55"/>
    <w:bookmarkEnd w:id="156"/>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Style w:val="28"/>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8"/>
          <w:rFonts w:hint="eastAsia" w:ascii="黑体" w:hAnsi="黑体" w:eastAsia="黑体"/>
          <w:sz w:val="30"/>
          <w:szCs w:val="30"/>
        </w:rPr>
        <w:t xml:space="preserve">第六章 </w:t>
      </w:r>
      <w:r>
        <w:rPr>
          <w:rStyle w:val="28"/>
          <w:rFonts w:hint="eastAsia" w:ascii="微软雅黑" w:hAnsi="微软雅黑" w:eastAsia="黑体"/>
          <w:sz w:val="30"/>
          <w:szCs w:val="30"/>
        </w:rPr>
        <w:t> </w:t>
      </w:r>
      <w:r>
        <w:rPr>
          <w:rStyle w:val="28"/>
          <w:rFonts w:hint="eastAsia" w:ascii="黑体" w:hAnsi="黑体" w:eastAsia="黑体"/>
          <w:sz w:val="30"/>
          <w:szCs w:val="30"/>
        </w:rPr>
        <w:t>法律责任</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28"/>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7" w:name="OLE_LINK18"/>
      <w:bookmarkStart w:id="158" w:name="OLE_LINK17"/>
      <w:bookmarkStart w:id="159" w:name="OLE_LINK16"/>
      <w:r>
        <w:rPr>
          <w:rFonts w:hint="eastAsia" w:ascii="仿宋_GB2312" w:hAnsi="宋体" w:eastAsia="仿宋_GB2312" w:cs="宋体"/>
          <w:sz w:val="24"/>
          <w:szCs w:val="24"/>
        </w:rPr>
        <w:t>规</w:t>
      </w:r>
      <w:bookmarkEnd w:id="157"/>
      <w:bookmarkEnd w:id="158"/>
      <w:bookmarkEnd w:id="159"/>
      <w:r>
        <w:rPr>
          <w:rFonts w:hint="eastAsia" w:ascii="仿宋_GB2312" w:hAnsi="宋体" w:eastAsia="仿宋_GB2312" w:cs="宋体"/>
          <w:sz w:val="24"/>
          <w:szCs w:val="24"/>
        </w:rPr>
        <w:t>追究其相应责任。</w:t>
      </w:r>
    </w:p>
    <w:p>
      <w:pPr>
        <w:pStyle w:val="23"/>
        <w:shd w:val="clear" w:color="auto" w:fill="FFFFFF"/>
        <w:adjustRightInd w:val="0"/>
        <w:snapToGrid w:val="0"/>
        <w:spacing w:before="0" w:beforeAutospacing="0" w:after="0" w:afterAutospacing="0" w:line="560" w:lineRule="exact"/>
        <w:ind w:firstLine="482" w:firstLineChars="200"/>
        <w:jc w:val="both"/>
        <w:rPr>
          <w:rStyle w:val="28"/>
          <w:rFonts w:ascii="仿宋_GB2312" w:hAnsi="微软雅黑" w:eastAsia="仿宋_GB2312"/>
          <w:sz w:val="24"/>
          <w:szCs w:val="24"/>
        </w:rPr>
      </w:pPr>
      <w:r>
        <w:rPr>
          <w:rStyle w:val="28"/>
          <w:rFonts w:hint="eastAsia" w:ascii="仿宋_GB2312" w:hAnsi="微软雅黑" w:eastAsia="仿宋_GB2312"/>
          <w:sz w:val="24"/>
          <w:szCs w:val="24"/>
        </w:rPr>
        <w:t>　</w:t>
      </w:r>
    </w:p>
    <w:p>
      <w:pPr>
        <w:pStyle w:val="23"/>
        <w:shd w:val="clear" w:color="auto" w:fill="FFFFFF"/>
        <w:adjustRightInd w:val="0"/>
        <w:snapToGrid w:val="0"/>
        <w:spacing w:before="0" w:beforeAutospacing="0" w:after="0" w:afterAutospacing="0" w:line="560" w:lineRule="exact"/>
        <w:jc w:val="center"/>
        <w:rPr>
          <w:rStyle w:val="28"/>
          <w:rFonts w:ascii="黑体" w:hAnsi="黑体" w:eastAsia="黑体"/>
          <w:sz w:val="24"/>
          <w:szCs w:val="24"/>
        </w:rPr>
      </w:pPr>
      <w:r>
        <w:rPr>
          <w:rStyle w:val="28"/>
          <w:rFonts w:hint="eastAsia" w:ascii="黑体" w:hAnsi="黑体" w:eastAsia="黑体"/>
          <w:sz w:val="24"/>
          <w:szCs w:val="24"/>
        </w:rPr>
        <w:t xml:space="preserve">第七章 </w:t>
      </w:r>
      <w:r>
        <w:rPr>
          <w:rStyle w:val="28"/>
          <w:rFonts w:hint="eastAsia" w:ascii="微软雅黑" w:hAnsi="微软雅黑" w:eastAsia="黑体"/>
          <w:sz w:val="24"/>
          <w:szCs w:val="24"/>
        </w:rPr>
        <w:t> </w:t>
      </w:r>
      <w:r>
        <w:rPr>
          <w:rStyle w:val="28"/>
          <w:rFonts w:hint="eastAsia" w:ascii="黑体" w:hAnsi="黑体" w:eastAsia="黑体"/>
          <w:sz w:val="24"/>
          <w:szCs w:val="24"/>
        </w:rPr>
        <w:t>附则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2"/>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3"/>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8"/>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374238F"/>
    <w:rsid w:val="03A01301"/>
    <w:rsid w:val="0432311F"/>
    <w:rsid w:val="04910E13"/>
    <w:rsid w:val="04E55E3A"/>
    <w:rsid w:val="055F6389"/>
    <w:rsid w:val="09296F01"/>
    <w:rsid w:val="09564F15"/>
    <w:rsid w:val="09A84CAA"/>
    <w:rsid w:val="09AC2920"/>
    <w:rsid w:val="0A4546CD"/>
    <w:rsid w:val="0A9D2C05"/>
    <w:rsid w:val="0C5D773D"/>
    <w:rsid w:val="0D7754CF"/>
    <w:rsid w:val="0D7E2A6A"/>
    <w:rsid w:val="0DA16FB4"/>
    <w:rsid w:val="0E7E3960"/>
    <w:rsid w:val="0ECE2C8D"/>
    <w:rsid w:val="107556EE"/>
    <w:rsid w:val="10A328AC"/>
    <w:rsid w:val="11097CFF"/>
    <w:rsid w:val="11A93BAF"/>
    <w:rsid w:val="12A869B3"/>
    <w:rsid w:val="162C38CF"/>
    <w:rsid w:val="171262BF"/>
    <w:rsid w:val="17252284"/>
    <w:rsid w:val="177B58CD"/>
    <w:rsid w:val="18020BC4"/>
    <w:rsid w:val="18B051AF"/>
    <w:rsid w:val="18E70052"/>
    <w:rsid w:val="19254BEF"/>
    <w:rsid w:val="19DC3498"/>
    <w:rsid w:val="1A07319C"/>
    <w:rsid w:val="1A33516B"/>
    <w:rsid w:val="1B4F4CC3"/>
    <w:rsid w:val="1B7570E3"/>
    <w:rsid w:val="1BA211E7"/>
    <w:rsid w:val="1E2D6CC4"/>
    <w:rsid w:val="1F025BBE"/>
    <w:rsid w:val="1FD03D76"/>
    <w:rsid w:val="203877A5"/>
    <w:rsid w:val="20EB3EDD"/>
    <w:rsid w:val="21A428FD"/>
    <w:rsid w:val="21FE134A"/>
    <w:rsid w:val="228869AA"/>
    <w:rsid w:val="22C22324"/>
    <w:rsid w:val="23567244"/>
    <w:rsid w:val="236513B9"/>
    <w:rsid w:val="261507FA"/>
    <w:rsid w:val="26566759"/>
    <w:rsid w:val="27717DCB"/>
    <w:rsid w:val="281D1648"/>
    <w:rsid w:val="28574F87"/>
    <w:rsid w:val="28AF482A"/>
    <w:rsid w:val="291D580A"/>
    <w:rsid w:val="29674BDA"/>
    <w:rsid w:val="29831EC9"/>
    <w:rsid w:val="29913DEF"/>
    <w:rsid w:val="29B44350"/>
    <w:rsid w:val="2ADF5772"/>
    <w:rsid w:val="2B9343A5"/>
    <w:rsid w:val="2C231C3E"/>
    <w:rsid w:val="2C43766C"/>
    <w:rsid w:val="2D31750C"/>
    <w:rsid w:val="2DE634B9"/>
    <w:rsid w:val="2EDF550D"/>
    <w:rsid w:val="3025527A"/>
    <w:rsid w:val="30C91186"/>
    <w:rsid w:val="31495EDE"/>
    <w:rsid w:val="31921319"/>
    <w:rsid w:val="31BC6863"/>
    <w:rsid w:val="32FA2CBE"/>
    <w:rsid w:val="338B35BF"/>
    <w:rsid w:val="34092461"/>
    <w:rsid w:val="34EF42C7"/>
    <w:rsid w:val="35EA3087"/>
    <w:rsid w:val="36607CEC"/>
    <w:rsid w:val="36EF1694"/>
    <w:rsid w:val="388443D5"/>
    <w:rsid w:val="38FB3C73"/>
    <w:rsid w:val="390659FB"/>
    <w:rsid w:val="390D1E7C"/>
    <w:rsid w:val="3A014C0D"/>
    <w:rsid w:val="3A3D3FD1"/>
    <w:rsid w:val="3B0D6490"/>
    <w:rsid w:val="3B6A356D"/>
    <w:rsid w:val="3BAB4838"/>
    <w:rsid w:val="3BF1493F"/>
    <w:rsid w:val="3C460065"/>
    <w:rsid w:val="3E2E563A"/>
    <w:rsid w:val="3E547D6D"/>
    <w:rsid w:val="3EA52FF6"/>
    <w:rsid w:val="3F2969DF"/>
    <w:rsid w:val="3F646DBC"/>
    <w:rsid w:val="43001B9C"/>
    <w:rsid w:val="44E0509A"/>
    <w:rsid w:val="457774F2"/>
    <w:rsid w:val="45C94FEF"/>
    <w:rsid w:val="462D2409"/>
    <w:rsid w:val="47C1249E"/>
    <w:rsid w:val="481B4427"/>
    <w:rsid w:val="481E3C44"/>
    <w:rsid w:val="485756B9"/>
    <w:rsid w:val="48835154"/>
    <w:rsid w:val="4939003C"/>
    <w:rsid w:val="4A010EEA"/>
    <w:rsid w:val="4CAC2800"/>
    <w:rsid w:val="4CFB5EE3"/>
    <w:rsid w:val="4D263AF9"/>
    <w:rsid w:val="4D4B074A"/>
    <w:rsid w:val="4EF26D89"/>
    <w:rsid w:val="4FC205E1"/>
    <w:rsid w:val="502C74D1"/>
    <w:rsid w:val="507C6DB1"/>
    <w:rsid w:val="50F02837"/>
    <w:rsid w:val="516F3CBE"/>
    <w:rsid w:val="517C5E2B"/>
    <w:rsid w:val="51C639B2"/>
    <w:rsid w:val="51F17F8E"/>
    <w:rsid w:val="52823DEE"/>
    <w:rsid w:val="529C0587"/>
    <w:rsid w:val="52EC4B4A"/>
    <w:rsid w:val="53510242"/>
    <w:rsid w:val="54102DA0"/>
    <w:rsid w:val="54B565B4"/>
    <w:rsid w:val="5517751A"/>
    <w:rsid w:val="56194C24"/>
    <w:rsid w:val="56F05266"/>
    <w:rsid w:val="57350A15"/>
    <w:rsid w:val="575168F3"/>
    <w:rsid w:val="58732C56"/>
    <w:rsid w:val="594D5E25"/>
    <w:rsid w:val="59E14756"/>
    <w:rsid w:val="5A7E4E4D"/>
    <w:rsid w:val="5AB55191"/>
    <w:rsid w:val="5C957923"/>
    <w:rsid w:val="5CA42F27"/>
    <w:rsid w:val="5CE11CAD"/>
    <w:rsid w:val="5D0F5ABF"/>
    <w:rsid w:val="5DE021E2"/>
    <w:rsid w:val="5DFA5BF3"/>
    <w:rsid w:val="5E545B85"/>
    <w:rsid w:val="5F765DB0"/>
    <w:rsid w:val="608E6286"/>
    <w:rsid w:val="622A6C63"/>
    <w:rsid w:val="62EF21DB"/>
    <w:rsid w:val="631D68AE"/>
    <w:rsid w:val="632D6F40"/>
    <w:rsid w:val="63AF1D1A"/>
    <w:rsid w:val="63F510AA"/>
    <w:rsid w:val="648E32AE"/>
    <w:rsid w:val="64A06B15"/>
    <w:rsid w:val="64D252BD"/>
    <w:rsid w:val="65412DFD"/>
    <w:rsid w:val="657F52AC"/>
    <w:rsid w:val="663A01C8"/>
    <w:rsid w:val="668B2466"/>
    <w:rsid w:val="66DB439B"/>
    <w:rsid w:val="66E003B2"/>
    <w:rsid w:val="672F50CE"/>
    <w:rsid w:val="6817729A"/>
    <w:rsid w:val="699E695C"/>
    <w:rsid w:val="69BF7E12"/>
    <w:rsid w:val="6B792DBC"/>
    <w:rsid w:val="6B9C09D1"/>
    <w:rsid w:val="6C2E4C0D"/>
    <w:rsid w:val="6DA6798D"/>
    <w:rsid w:val="6DED4397"/>
    <w:rsid w:val="6F370FC4"/>
    <w:rsid w:val="6F420D0F"/>
    <w:rsid w:val="701B5C41"/>
    <w:rsid w:val="71091718"/>
    <w:rsid w:val="71587B7E"/>
    <w:rsid w:val="7276222A"/>
    <w:rsid w:val="73197CE0"/>
    <w:rsid w:val="732A1BFA"/>
    <w:rsid w:val="73344FDD"/>
    <w:rsid w:val="73616E39"/>
    <w:rsid w:val="73C0694D"/>
    <w:rsid w:val="74A54B7B"/>
    <w:rsid w:val="751B270C"/>
    <w:rsid w:val="7532635D"/>
    <w:rsid w:val="768C17FB"/>
    <w:rsid w:val="77722493"/>
    <w:rsid w:val="79002FDD"/>
    <w:rsid w:val="7A2C2B5D"/>
    <w:rsid w:val="7A3C397B"/>
    <w:rsid w:val="7CBB28FC"/>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47"/>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4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9"/>
    <w:qFormat/>
    <w:uiPriority w:val="9"/>
    <w:pPr>
      <w:keepNext/>
      <w:keepLines/>
      <w:spacing w:before="260" w:after="260" w:line="416" w:lineRule="auto"/>
      <w:outlineLvl w:val="2"/>
    </w:pPr>
    <w:rPr>
      <w:b/>
      <w:bCs/>
      <w:sz w:val="32"/>
      <w:szCs w:val="32"/>
    </w:rPr>
  </w:style>
  <w:style w:type="paragraph" w:styleId="9">
    <w:name w:val="heading 4"/>
    <w:basedOn w:val="1"/>
    <w:next w:val="1"/>
    <w:link w:val="50"/>
    <w:qFormat/>
    <w:uiPriority w:val="9"/>
    <w:pPr>
      <w:keepNext/>
      <w:keepLines/>
      <w:spacing w:before="280" w:after="290" w:line="376" w:lineRule="auto"/>
      <w:outlineLvl w:val="3"/>
    </w:pPr>
    <w:rPr>
      <w:rFonts w:ascii="Cambria" w:hAnsi="Cambria" w:eastAsia="宋体" w:cs="Times New Roman"/>
      <w:b/>
      <w:bCs/>
      <w:szCs w:val="28"/>
    </w:rPr>
  </w:style>
  <w:style w:type="paragraph" w:styleId="10">
    <w:name w:val="heading 5"/>
    <w:basedOn w:val="1"/>
    <w:next w:val="1"/>
    <w:link w:val="51"/>
    <w:qFormat/>
    <w:uiPriority w:val="9"/>
    <w:pPr>
      <w:keepNext/>
      <w:keepLines/>
      <w:spacing w:before="280" w:after="290" w:line="376" w:lineRule="auto"/>
      <w:outlineLvl w:val="4"/>
    </w:pPr>
    <w:rPr>
      <w:b/>
      <w:bCs/>
      <w:szCs w:val="28"/>
    </w:rPr>
  </w:style>
  <w:style w:type="paragraph" w:styleId="11">
    <w:name w:val="heading 6"/>
    <w:basedOn w:val="1"/>
    <w:next w:val="1"/>
    <w:link w:val="52"/>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2">
    <w:name w:val="heading 7"/>
    <w:basedOn w:val="1"/>
    <w:next w:val="1"/>
    <w:link w:val="53"/>
    <w:qFormat/>
    <w:uiPriority w:val="9"/>
    <w:pPr>
      <w:keepNext/>
      <w:keepLines/>
      <w:spacing w:before="240" w:after="64" w:line="320" w:lineRule="auto"/>
      <w:outlineLvl w:val="6"/>
    </w:pPr>
    <w:rPr>
      <w:b/>
      <w:bCs/>
      <w:sz w:val="24"/>
      <w:szCs w:val="24"/>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6"/>
    <w:qFormat/>
    <w:uiPriority w:val="0"/>
    <w:pPr>
      <w:spacing w:line="200" w:lineRule="atLeast"/>
      <w:ind w:firstLine="301"/>
    </w:pPr>
    <w:rPr>
      <w:rFonts w:ascii="宋体" w:hAnsi="Courier New"/>
      <w:spacing w:val="-4"/>
      <w:kern w:val="0"/>
      <w:sz w:val="18"/>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ind w:firstLine="420"/>
    </w:pPr>
    <w:rPr>
      <w:rFonts w:ascii="Times New Roman" w:hAnsi="Times New Roman" w:cs="Times New Roman"/>
      <w:szCs w:val="20"/>
    </w:rPr>
  </w:style>
  <w:style w:type="paragraph" w:styleId="14">
    <w:name w:val="annotation text"/>
    <w:basedOn w:val="1"/>
    <w:qFormat/>
    <w:uiPriority w:val="0"/>
    <w:pPr>
      <w:jc w:val="left"/>
    </w:pPr>
    <w:rPr>
      <w:kern w:val="0"/>
      <w:sz w:val="21"/>
      <w:szCs w:val="21"/>
    </w:rPr>
  </w:style>
  <w:style w:type="paragraph" w:styleId="15">
    <w:name w:val="Plain Text"/>
    <w:basedOn w:val="1"/>
    <w:link w:val="54"/>
    <w:qFormat/>
    <w:uiPriority w:val="0"/>
    <w:pPr>
      <w:spacing w:beforeLines="50" w:afterLines="50" w:line="400" w:lineRule="atLeast"/>
    </w:pPr>
    <w:rPr>
      <w:rFonts w:ascii="宋体" w:hAnsi="Courier New"/>
      <w:kern w:val="0"/>
      <w:sz w:val="24"/>
    </w:rPr>
  </w:style>
  <w:style w:type="paragraph" w:styleId="16">
    <w:name w:val="Date"/>
    <w:basedOn w:val="1"/>
    <w:next w:val="1"/>
    <w:link w:val="55"/>
    <w:unhideWhenUsed/>
    <w:qFormat/>
    <w:uiPriority w:val="99"/>
    <w:pPr>
      <w:ind w:left="100" w:leftChars="2500"/>
    </w:pPr>
  </w:style>
  <w:style w:type="paragraph" w:styleId="17">
    <w:name w:val="Balloon Text"/>
    <w:basedOn w:val="1"/>
    <w:link w:val="56"/>
    <w:unhideWhenUsed/>
    <w:qFormat/>
    <w:uiPriority w:val="99"/>
    <w:rPr>
      <w:sz w:val="18"/>
      <w:szCs w:val="18"/>
    </w:rPr>
  </w:style>
  <w:style w:type="paragraph" w:styleId="18">
    <w:name w:val="footer"/>
    <w:basedOn w:val="1"/>
    <w:link w:val="57"/>
    <w:unhideWhenUsed/>
    <w:qFormat/>
    <w:uiPriority w:val="99"/>
    <w:pPr>
      <w:tabs>
        <w:tab w:val="center" w:pos="4153"/>
        <w:tab w:val="right" w:pos="8306"/>
      </w:tabs>
      <w:snapToGrid w:val="0"/>
      <w:jc w:val="left"/>
    </w:pPr>
    <w:rPr>
      <w:sz w:val="18"/>
      <w:szCs w:val="18"/>
    </w:rPr>
  </w:style>
  <w:style w:type="paragraph" w:styleId="19">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1">
    <w:name w:val="index 7"/>
    <w:basedOn w:val="1"/>
    <w:next w:val="1"/>
    <w:unhideWhenUsed/>
    <w:qFormat/>
    <w:uiPriority w:val="99"/>
    <w:pPr>
      <w:ind w:left="1200" w:leftChars="1200"/>
    </w:pPr>
  </w:style>
  <w:style w:type="paragraph" w:styleId="22">
    <w:name w:val="toc 2"/>
    <w:basedOn w:val="1"/>
    <w:next w:val="1"/>
    <w:unhideWhenUsed/>
    <w:qFormat/>
    <w:uiPriority w:val="39"/>
    <w:pPr>
      <w:ind w:left="420" w:leftChars="200"/>
    </w:pPr>
  </w:style>
  <w:style w:type="paragraph" w:styleId="23">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4">
    <w:name w:val="Title"/>
    <w:basedOn w:val="1"/>
    <w:next w:val="1"/>
    <w:link w:val="59"/>
    <w:qFormat/>
    <w:uiPriority w:val="10"/>
    <w:pPr>
      <w:spacing w:before="240" w:after="60"/>
      <w:jc w:val="center"/>
      <w:outlineLvl w:val="0"/>
    </w:pPr>
    <w:rPr>
      <w:rFonts w:ascii="Cambria" w:hAnsi="Cambria" w:cs="Times New Roman"/>
      <w:b/>
      <w:bCs/>
      <w:sz w:val="32"/>
      <w:szCs w:val="32"/>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basedOn w:val="27"/>
    <w:unhideWhenUsed/>
    <w:qFormat/>
    <w:uiPriority w:val="99"/>
    <w:rPr>
      <w:color w:val="0000FF"/>
      <w:u w:val="single"/>
    </w:rPr>
  </w:style>
  <w:style w:type="paragraph" w:styleId="30">
    <w:name w:val="List Paragraph"/>
    <w:basedOn w:val="1"/>
    <w:link w:val="62"/>
    <w:qFormat/>
    <w:uiPriority w:val="0"/>
    <w:pPr>
      <w:ind w:firstLine="420" w:firstLineChars="200"/>
    </w:pPr>
    <w:rPr>
      <w:kern w:val="0"/>
    </w:rPr>
  </w:style>
  <w:style w:type="paragraph" w:customStyle="1" w:styleId="31">
    <w:name w:val="正文 第一章"/>
    <w:basedOn w:val="1"/>
    <w:next w:val="32"/>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2">
    <w:name w:val="正文 1.1"/>
    <w:basedOn w:val="1"/>
    <w:next w:val="33"/>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3">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4">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5">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8">
    <w:name w:val="第四级"/>
    <w:basedOn w:val="1"/>
    <w:next w:val="37"/>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3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标题 2 New"/>
    <w:basedOn w:val="41"/>
    <w:next w:val="41"/>
    <w:qFormat/>
    <w:uiPriority w:val="0"/>
    <w:pPr>
      <w:keepNext/>
      <w:keepLines/>
      <w:spacing w:before="260" w:after="260" w:line="413" w:lineRule="auto"/>
      <w:outlineLvl w:val="1"/>
    </w:pPr>
    <w:rPr>
      <w:rFonts w:ascii="Arial" w:hAnsi="Arial" w:eastAsia="黑体"/>
      <w:b/>
      <w:bCs/>
      <w:sz w:val="32"/>
      <w:szCs w:val="32"/>
    </w:rPr>
  </w:style>
  <w:style w:type="paragraph" w:customStyle="1" w:styleId="4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Normal_0"/>
    <w:qFormat/>
    <w:uiPriority w:val="99"/>
    <w:rPr>
      <w:rFonts w:ascii="Calibri" w:hAnsi="Calibri" w:eastAsia="宋体" w:cs="Times New Roman"/>
      <w:sz w:val="24"/>
      <w:szCs w:val="24"/>
      <w:lang w:val="en-US" w:eastAsia="zh-CN" w:bidi="ar-SA"/>
    </w:rPr>
  </w:style>
  <w:style w:type="paragraph" w:customStyle="1" w:styleId="45">
    <w:name w:val="Default"/>
    <w:next w:val="22"/>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6">
    <w:name w:val="正文文本缩进 Char"/>
    <w:link w:val="3"/>
    <w:qFormat/>
    <w:locked/>
    <w:uiPriority w:val="0"/>
    <w:rPr>
      <w:rFonts w:ascii="宋体" w:hAnsi="Courier New" w:eastAsia="宋体"/>
      <w:spacing w:val="-4"/>
      <w:sz w:val="18"/>
    </w:rPr>
  </w:style>
  <w:style w:type="character" w:customStyle="1" w:styleId="47">
    <w:name w:val="标题 1 Char"/>
    <w:basedOn w:val="27"/>
    <w:link w:val="6"/>
    <w:qFormat/>
    <w:uiPriority w:val="0"/>
    <w:rPr>
      <w:rFonts w:ascii="宋体" w:hAnsi="Arial" w:eastAsia="黑体" w:cs="Times New Roman"/>
      <w:b/>
      <w:bCs/>
      <w:color w:val="000000"/>
      <w:kern w:val="44"/>
      <w:sz w:val="36"/>
      <w:szCs w:val="32"/>
    </w:rPr>
  </w:style>
  <w:style w:type="character" w:customStyle="1" w:styleId="48">
    <w:name w:val="标题 2 Char"/>
    <w:basedOn w:val="27"/>
    <w:link w:val="7"/>
    <w:semiHidden/>
    <w:qFormat/>
    <w:uiPriority w:val="9"/>
    <w:rPr>
      <w:rFonts w:ascii="Cambria" w:hAnsi="Cambria" w:eastAsia="宋体" w:cs="Times New Roman"/>
      <w:b/>
      <w:bCs/>
      <w:sz w:val="32"/>
      <w:szCs w:val="32"/>
    </w:rPr>
  </w:style>
  <w:style w:type="character" w:customStyle="1" w:styleId="49">
    <w:name w:val="标题 3 Char1"/>
    <w:basedOn w:val="27"/>
    <w:link w:val="8"/>
    <w:semiHidden/>
    <w:qFormat/>
    <w:uiPriority w:val="9"/>
    <w:rPr>
      <w:rFonts w:ascii="Times New Roman" w:hAnsi="Times New Roman" w:eastAsia="宋体" w:cs="Times New Roman"/>
      <w:b/>
      <w:bCs/>
      <w:sz w:val="32"/>
      <w:szCs w:val="32"/>
    </w:rPr>
  </w:style>
  <w:style w:type="character" w:customStyle="1" w:styleId="50">
    <w:name w:val="标题 4 Char"/>
    <w:basedOn w:val="27"/>
    <w:link w:val="9"/>
    <w:semiHidden/>
    <w:qFormat/>
    <w:uiPriority w:val="9"/>
    <w:rPr>
      <w:rFonts w:ascii="Cambria" w:hAnsi="Cambria" w:eastAsia="宋体" w:cs="Times New Roman"/>
      <w:b/>
      <w:bCs/>
      <w:sz w:val="28"/>
      <w:szCs w:val="28"/>
    </w:rPr>
  </w:style>
  <w:style w:type="character" w:customStyle="1" w:styleId="51">
    <w:name w:val="标题 5 Char"/>
    <w:basedOn w:val="27"/>
    <w:link w:val="10"/>
    <w:semiHidden/>
    <w:qFormat/>
    <w:uiPriority w:val="9"/>
    <w:rPr>
      <w:rFonts w:ascii="Times New Roman" w:hAnsi="Times New Roman" w:eastAsia="宋体" w:cs="Times New Roman"/>
      <w:b/>
      <w:bCs/>
      <w:sz w:val="28"/>
      <w:szCs w:val="28"/>
    </w:rPr>
  </w:style>
  <w:style w:type="character" w:customStyle="1" w:styleId="52">
    <w:name w:val="标题 6 Char"/>
    <w:basedOn w:val="27"/>
    <w:link w:val="11"/>
    <w:semiHidden/>
    <w:qFormat/>
    <w:uiPriority w:val="9"/>
    <w:rPr>
      <w:rFonts w:ascii="Cambria" w:hAnsi="Cambria" w:eastAsia="宋体" w:cs="Times New Roman"/>
      <w:b/>
      <w:bCs/>
      <w:sz w:val="24"/>
      <w:szCs w:val="24"/>
    </w:rPr>
  </w:style>
  <w:style w:type="character" w:customStyle="1" w:styleId="53">
    <w:name w:val="标题 7 Char"/>
    <w:basedOn w:val="27"/>
    <w:link w:val="12"/>
    <w:semiHidden/>
    <w:qFormat/>
    <w:uiPriority w:val="9"/>
    <w:rPr>
      <w:rFonts w:ascii="Times New Roman" w:hAnsi="Times New Roman" w:eastAsia="宋体" w:cs="Times New Roman"/>
      <w:b/>
      <w:bCs/>
      <w:sz w:val="24"/>
      <w:szCs w:val="24"/>
    </w:rPr>
  </w:style>
  <w:style w:type="character" w:customStyle="1" w:styleId="54">
    <w:name w:val="纯文本 Char1"/>
    <w:link w:val="15"/>
    <w:qFormat/>
    <w:uiPriority w:val="0"/>
    <w:rPr>
      <w:rFonts w:ascii="宋体" w:hAnsi="Courier New" w:eastAsia="宋体"/>
      <w:sz w:val="24"/>
    </w:rPr>
  </w:style>
  <w:style w:type="character" w:customStyle="1" w:styleId="55">
    <w:name w:val="日期 Char"/>
    <w:basedOn w:val="27"/>
    <w:link w:val="16"/>
    <w:semiHidden/>
    <w:qFormat/>
    <w:uiPriority w:val="99"/>
    <w:rPr>
      <w:rFonts w:ascii="Times New Roman" w:hAnsi="Times New Roman" w:eastAsia="宋体" w:cs="Times New Roman"/>
      <w:sz w:val="28"/>
      <w:szCs w:val="20"/>
    </w:rPr>
  </w:style>
  <w:style w:type="character" w:customStyle="1" w:styleId="56">
    <w:name w:val="批注框文本 Char"/>
    <w:basedOn w:val="27"/>
    <w:link w:val="17"/>
    <w:semiHidden/>
    <w:qFormat/>
    <w:uiPriority w:val="99"/>
    <w:rPr>
      <w:rFonts w:ascii="Times New Roman" w:hAnsi="Times New Roman" w:eastAsia="宋体" w:cs="Times New Roman"/>
      <w:sz w:val="18"/>
      <w:szCs w:val="18"/>
    </w:rPr>
  </w:style>
  <w:style w:type="character" w:customStyle="1" w:styleId="57">
    <w:name w:val="页脚 Char"/>
    <w:basedOn w:val="27"/>
    <w:link w:val="18"/>
    <w:qFormat/>
    <w:uiPriority w:val="99"/>
    <w:rPr>
      <w:rFonts w:ascii="Times New Roman" w:hAnsi="Times New Roman" w:eastAsia="宋体" w:cs="Times New Roman"/>
      <w:sz w:val="18"/>
      <w:szCs w:val="18"/>
    </w:rPr>
  </w:style>
  <w:style w:type="character" w:customStyle="1" w:styleId="58">
    <w:name w:val="页眉 Char"/>
    <w:basedOn w:val="27"/>
    <w:link w:val="19"/>
    <w:semiHidden/>
    <w:qFormat/>
    <w:uiPriority w:val="99"/>
    <w:rPr>
      <w:rFonts w:ascii="Times New Roman" w:hAnsi="Times New Roman" w:eastAsia="宋体" w:cs="Times New Roman"/>
      <w:sz w:val="18"/>
      <w:szCs w:val="18"/>
    </w:rPr>
  </w:style>
  <w:style w:type="character" w:customStyle="1" w:styleId="59">
    <w:name w:val="标题 Char"/>
    <w:basedOn w:val="27"/>
    <w:link w:val="24"/>
    <w:qFormat/>
    <w:uiPriority w:val="10"/>
    <w:rPr>
      <w:rFonts w:ascii="Cambria" w:hAnsi="Cambria" w:eastAsia="宋体" w:cs="Times New Roman"/>
      <w:b/>
      <w:bCs/>
      <w:sz w:val="32"/>
      <w:szCs w:val="32"/>
    </w:rPr>
  </w:style>
  <w:style w:type="character" w:customStyle="1" w:styleId="60">
    <w:name w:val="正文文本缩进 Char1"/>
    <w:basedOn w:val="27"/>
    <w:semiHidden/>
    <w:qFormat/>
    <w:uiPriority w:val="99"/>
    <w:rPr>
      <w:rFonts w:ascii="Times New Roman" w:hAnsi="Times New Roman" w:eastAsia="宋体" w:cs="Times New Roman"/>
      <w:sz w:val="28"/>
      <w:szCs w:val="20"/>
    </w:rPr>
  </w:style>
  <w:style w:type="character" w:customStyle="1" w:styleId="61">
    <w:name w:val="纯文本 Char"/>
    <w:basedOn w:val="27"/>
    <w:semiHidden/>
    <w:qFormat/>
    <w:uiPriority w:val="99"/>
    <w:rPr>
      <w:rFonts w:ascii="宋体" w:hAnsi="Courier New" w:eastAsia="宋体" w:cs="Courier New"/>
      <w:szCs w:val="21"/>
    </w:rPr>
  </w:style>
  <w:style w:type="character" w:customStyle="1" w:styleId="62">
    <w:name w:val="列出段落 Char"/>
    <w:link w:val="30"/>
    <w:qFormat/>
    <w:locked/>
    <w:uiPriority w:val="0"/>
    <w:rPr>
      <w:rFonts w:ascii="Times New Roman" w:hAnsi="Times New Roman" w:eastAsia="宋体" w:cs="Times New Roman"/>
      <w:sz w:val="28"/>
      <w:szCs w:val="20"/>
    </w:rPr>
  </w:style>
  <w:style w:type="character" w:customStyle="1" w:styleId="63">
    <w:name w:val="正文 第五章 中间"/>
    <w:qFormat/>
    <w:uiPriority w:val="0"/>
    <w:rPr>
      <w:b/>
      <w:bCs/>
      <w:color w:val="000000"/>
      <w:sz w:val="32"/>
    </w:rPr>
  </w:style>
  <w:style w:type="character" w:customStyle="1" w:styleId="64">
    <w:name w:val="标题 3 Char"/>
    <w:qFormat/>
    <w:uiPriority w:val="0"/>
    <w:rPr>
      <w:rFonts w:eastAsia="宋体"/>
      <w:b/>
      <w:bCs/>
      <w:kern w:val="2"/>
      <w:sz w:val="32"/>
      <w:szCs w:val="32"/>
      <w:lang w:val="en-US" w:eastAsia="zh-CN" w:bidi="ar-SA"/>
    </w:rPr>
  </w:style>
  <w:style w:type="paragraph" w:customStyle="1" w:styleId="65">
    <w:name w:val="xl31"/>
    <w:basedOn w:val="1"/>
    <w:qFormat/>
    <w:uiPriority w:val="0"/>
    <w:pPr>
      <w:widowControl/>
      <w:spacing w:before="100" w:beforeAutospacing="1" w:after="100" w:afterAutospacing="1"/>
      <w:jc w:val="center"/>
    </w:pPr>
    <w:rPr>
      <w:rFonts w:ascii="宋体" w:hAnsi="宋体"/>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48</Pages>
  <Words>19980</Words>
  <Characters>20774</Characters>
  <Lines>158</Lines>
  <Paragraphs>44</Paragraphs>
  <TotalTime>207</TotalTime>
  <ScaleCrop>false</ScaleCrop>
  <LinksUpToDate>false</LinksUpToDate>
  <CharactersWithSpaces>23872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2023-04-11T06:40:21Z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EC2D55065EE9410B8AC07D03BAF4E20B</vt:lpwstr>
  </property>
</Properties>
</file>