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2004</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hint="eastAsia" w:ascii="华文中宋" w:hAnsi="华文中宋" w:eastAsia="华文中宋"/>
          <w:b/>
          <w:bCs/>
          <w:w w:val="90"/>
          <w:sz w:val="52"/>
          <w:szCs w:val="52"/>
          <w:lang w:val="en-US" w:eastAsia="zh-CN"/>
        </w:rPr>
      </w:pPr>
      <w:r>
        <w:rPr>
          <w:rFonts w:hint="eastAsia" w:ascii="华文中宋" w:hAnsi="华文中宋" w:eastAsia="华文中宋"/>
          <w:b/>
          <w:bCs/>
          <w:w w:val="90"/>
          <w:sz w:val="52"/>
          <w:szCs w:val="52"/>
          <w:lang w:val="en-US" w:eastAsia="zh-CN"/>
        </w:rPr>
        <w:t>2022-2024年社会化汽车租赁项目</w:t>
      </w:r>
    </w:p>
    <w:p>
      <w:pPr>
        <w:jc w:val="center"/>
        <w:rPr>
          <w:rFonts w:ascii="华文中宋" w:hAnsi="华文中宋" w:eastAsia="华文中宋"/>
          <w:sz w:val="52"/>
          <w:szCs w:val="52"/>
        </w:rPr>
      </w:pP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2</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2</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6"/>
      </w:pPr>
      <w:r>
        <w:rPr>
          <w:rFonts w:hint="eastAsia"/>
        </w:rPr>
        <w:t>目  录</w:t>
      </w:r>
    </w:p>
    <w:p>
      <w:pPr>
        <w:pStyle w:val="16"/>
      </w:pPr>
    </w:p>
    <w:p>
      <w:pPr>
        <w:pStyle w:val="16"/>
        <w:rPr>
          <w:rFonts w:asciiTheme="minorHAnsi" w:hAnsiTheme="minorHAnsi" w:eastAsiaTheme="minorEastAsia" w:cstheme="minorBidi"/>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"_Toc52892862" </w:instrText>
      </w:r>
      <w:r>
        <w:fldChar w:fldCharType="separate"/>
      </w:r>
      <w:r>
        <w:rPr>
          <w:rStyle w:val="24"/>
          <w:rFonts w:hint="eastAsia"/>
        </w:rPr>
        <w:t>第一章</w:t>
      </w:r>
      <w:r>
        <w:rPr>
          <w:rStyle w:val="24"/>
        </w:rPr>
        <w:t xml:space="preserve">  </w:t>
      </w:r>
      <w:r>
        <w:rPr>
          <w:rStyle w:val="24"/>
          <w:rFonts w:hint="eastAsia"/>
        </w:rPr>
        <w:t>磋商公告</w:t>
      </w:r>
      <w:r>
        <w:tab/>
      </w:r>
      <w:r>
        <w:fldChar w:fldCharType="begin"/>
      </w:r>
      <w:r>
        <w:instrText xml:space="preserve"> PAGEREF _Toc52892862 \h </w:instrText>
      </w:r>
      <w:r>
        <w:fldChar w:fldCharType="separate"/>
      </w:r>
      <w:r>
        <w:t>1</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"_Toc52892863" </w:instrText>
      </w:r>
      <w:r>
        <w:fldChar w:fldCharType="separate"/>
      </w:r>
      <w:r>
        <w:rPr>
          <w:rStyle w:val="24"/>
          <w:rFonts w:hint="eastAsia"/>
        </w:rPr>
        <w:t>第二章</w:t>
      </w:r>
      <w:r>
        <w:rPr>
          <w:rStyle w:val="24"/>
        </w:rPr>
        <w:t xml:space="preserve">  </w:t>
      </w:r>
      <w:r>
        <w:rPr>
          <w:rStyle w:val="24"/>
          <w:rFonts w:hint="eastAsia"/>
        </w:rPr>
        <w:t>磋商须知前附表</w:t>
      </w:r>
      <w:r>
        <w:tab/>
      </w:r>
      <w:r>
        <w:fldChar w:fldCharType="begin"/>
      </w:r>
      <w:r>
        <w:instrText xml:space="preserve"> PAGEREF _Toc52892863 \h </w:instrText>
      </w:r>
      <w:r>
        <w:fldChar w:fldCharType="separate"/>
      </w:r>
      <w:r>
        <w:t>3</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"_Toc52892864" </w:instrText>
      </w:r>
      <w:r>
        <w:fldChar w:fldCharType="separate"/>
      </w:r>
      <w:r>
        <w:rPr>
          <w:rStyle w:val="24"/>
          <w:rFonts w:hint="eastAsia"/>
        </w:rPr>
        <w:t>第三章</w:t>
      </w:r>
      <w:r>
        <w:rPr>
          <w:rStyle w:val="24"/>
        </w:rPr>
        <w:t xml:space="preserve">  </w:t>
      </w:r>
      <w:r>
        <w:rPr>
          <w:rStyle w:val="24"/>
          <w:rFonts w:hint="eastAsia"/>
        </w:rPr>
        <w:t>磋商须知</w:t>
      </w:r>
      <w:r>
        <w:tab/>
      </w:r>
      <w:r>
        <w:fldChar w:fldCharType="begin"/>
      </w:r>
      <w:r>
        <w:instrText xml:space="preserve"> PAGEREF _Toc52892864 \h </w:instrText>
      </w:r>
      <w:r>
        <w:fldChar w:fldCharType="separate"/>
      </w:r>
      <w:r>
        <w:t>4</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"_Toc52892865" </w:instrText>
      </w:r>
      <w:r>
        <w:fldChar w:fldCharType="separate"/>
      </w:r>
      <w:r>
        <w:rPr>
          <w:rStyle w:val="24"/>
          <w:rFonts w:hint="eastAsia"/>
        </w:rPr>
        <w:t>第四章</w:t>
      </w:r>
      <w:r>
        <w:rPr>
          <w:rStyle w:val="24"/>
        </w:rPr>
        <w:t xml:space="preserve">  </w:t>
      </w:r>
      <w:r>
        <w:rPr>
          <w:rStyle w:val="24"/>
          <w:rFonts w:hint="eastAsia"/>
        </w:rPr>
        <w:t>合同主要条款</w:t>
      </w:r>
      <w:r>
        <w:tab/>
      </w:r>
      <w:r>
        <w:fldChar w:fldCharType="begin"/>
      </w:r>
      <w:r>
        <w:instrText xml:space="preserve"> PAGEREF _Toc52892865 \h </w:instrText>
      </w:r>
      <w:r>
        <w:fldChar w:fldCharType="separate"/>
      </w:r>
      <w:r>
        <w:t>11</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"_Toc52892866" </w:instrText>
      </w:r>
      <w:r>
        <w:fldChar w:fldCharType="separate"/>
      </w:r>
      <w:r>
        <w:rPr>
          <w:rStyle w:val="24"/>
          <w:rFonts w:hint="eastAsia" w:cs="华文中宋"/>
        </w:rPr>
        <w:t>第五章</w:t>
      </w:r>
      <w:r>
        <w:rPr>
          <w:rStyle w:val="24"/>
          <w:rFonts w:cs="华文中宋"/>
        </w:rPr>
        <w:t xml:space="preserve"> </w:t>
      </w:r>
      <w:r>
        <w:rPr>
          <w:rStyle w:val="24"/>
          <w:rFonts w:hint="eastAsia" w:cs="华文中宋"/>
        </w:rPr>
        <w:t>项目需求</w:t>
      </w:r>
      <w:r>
        <w:tab/>
      </w:r>
      <w:r>
        <w:fldChar w:fldCharType="begin"/>
      </w:r>
      <w:r>
        <w:instrText xml:space="preserve"> PAGEREF _Toc52892866 \h </w:instrText>
      </w:r>
      <w:r>
        <w:fldChar w:fldCharType="separate"/>
      </w:r>
      <w:r>
        <w:t>17</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"_Toc52892867" </w:instrText>
      </w:r>
      <w:r>
        <w:fldChar w:fldCharType="separate"/>
      </w:r>
      <w:r>
        <w:rPr>
          <w:rStyle w:val="24"/>
          <w:rFonts w:hint="eastAsia" w:cs="华文中宋"/>
        </w:rPr>
        <w:t>第六章</w:t>
      </w:r>
      <w:r>
        <w:rPr>
          <w:rStyle w:val="24"/>
          <w:rFonts w:cs="华文中宋"/>
        </w:rPr>
        <w:t xml:space="preserve">  </w:t>
      </w:r>
      <w:r>
        <w:rPr>
          <w:rStyle w:val="24"/>
          <w:rFonts w:hint="eastAsia" w:cs="华文中宋"/>
        </w:rPr>
        <w:t>评分办法和评分细则</w:t>
      </w:r>
      <w:r>
        <w:tab/>
      </w:r>
      <w:r>
        <w:fldChar w:fldCharType="begin"/>
      </w:r>
      <w:r>
        <w:instrText xml:space="preserve"> PAGEREF _Toc52892867 \h </w:instrText>
      </w:r>
      <w:r>
        <w:fldChar w:fldCharType="separate"/>
      </w:r>
      <w:r>
        <w:t>20</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"_Toc52892868" </w:instrText>
      </w:r>
      <w:r>
        <w:fldChar w:fldCharType="separate"/>
      </w:r>
      <w:r>
        <w:rPr>
          <w:rStyle w:val="24"/>
          <w:rFonts w:hint="eastAsia"/>
        </w:rPr>
        <w:t>第七章</w:t>
      </w:r>
      <w:r>
        <w:rPr>
          <w:rStyle w:val="24"/>
        </w:rPr>
        <w:t xml:space="preserve">  </w:t>
      </w:r>
      <w:r>
        <w:rPr>
          <w:rStyle w:val="24"/>
          <w:rFonts w:hint="eastAsia"/>
        </w:rPr>
        <w:t>响应文件格式</w:t>
      </w:r>
      <w:r>
        <w:tab/>
      </w:r>
      <w:r>
        <w:fldChar w:fldCharType="begin"/>
      </w:r>
      <w:r>
        <w:instrText xml:space="preserve"> PAGEREF _Toc52892868 \h </w:instrText>
      </w:r>
      <w:r>
        <w:fldChar w:fldCharType="separate"/>
      </w:r>
      <w:r>
        <w:t>22</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3"/>
        <w:ind w:firstLine="1441" w:firstLineChars="400"/>
        <w:rPr>
          <w:rFonts w:ascii="华文中宋" w:hAnsi="华文中宋" w:eastAsia="华文中宋"/>
          <w:color w:val="auto"/>
          <w:szCs w:val="21"/>
        </w:rPr>
      </w:pPr>
      <w:bookmarkStart w:id="0" w:name="_Toc52892862"/>
      <w:r>
        <w:rPr>
          <w:rFonts w:hint="eastAsia" w:ascii="华文中宋" w:hAnsi="华文中宋" w:eastAsia="华文中宋"/>
          <w:color w:val="auto"/>
          <w:szCs w:val="21"/>
        </w:rPr>
        <w:t>第一章  磋商公告</w:t>
      </w:r>
      <w:bookmarkEnd w:id="0"/>
    </w:p>
    <w:p>
      <w:pPr>
        <w:adjustRightInd w:val="0"/>
        <w:snapToGrid w:val="0"/>
        <w:spacing w:line="360" w:lineRule="auto"/>
        <w:ind w:firstLine="453" w:firstLineChars="189"/>
        <w:rPr>
          <w:rFonts w:ascii="仿宋_GB2312" w:eastAsia="仿宋_GB2312"/>
          <w:kern w:val="0"/>
          <w:sz w:val="24"/>
          <w:szCs w:val="24"/>
        </w:rPr>
      </w:pPr>
      <w:bookmarkStart w:id="160" w:name="_GoBack"/>
      <w:r>
        <w:rPr>
          <w:rFonts w:hint="eastAsia" w:ascii="仿宋_GB2312" w:eastAsia="仿宋_GB2312"/>
          <w:sz w:val="24"/>
          <w:szCs w:val="24"/>
        </w:rPr>
        <w:t xml:space="preserve">我校2022-2024年社会化汽车租赁项目采取磋商的方式进行采购，现邀请符合资质条件的供应商参加投标和磋商。具体情况如下：    </w:t>
      </w:r>
    </w:p>
    <w:p>
      <w:pPr>
        <w:adjustRightInd w:val="0"/>
        <w:snapToGrid w:val="0"/>
        <w:spacing w:line="360" w:lineRule="auto"/>
        <w:ind w:firstLine="458" w:firstLineChars="190"/>
        <w:rPr>
          <w:rFonts w:ascii="仿宋_GB2312" w:eastAsia="仿宋_GB2312"/>
          <w:sz w:val="24"/>
          <w:szCs w:val="24"/>
        </w:rPr>
      </w:pPr>
      <w:r>
        <w:rPr>
          <w:rFonts w:hint="eastAsia" w:ascii="仿宋_GB2312" w:eastAsia="仿宋_GB2312"/>
          <w:b/>
          <w:sz w:val="24"/>
          <w:szCs w:val="24"/>
        </w:rPr>
        <w:t>一、项目概况</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（一）项目名称：</w:t>
      </w:r>
      <w:r>
        <w:rPr>
          <w:rFonts w:hint="eastAsia" w:ascii="仿宋_GB2312" w:eastAsia="仿宋_GB2312"/>
          <w:sz w:val="24"/>
          <w:szCs w:val="24"/>
          <w:lang w:eastAsia="zh-CN"/>
        </w:rPr>
        <w:t>皖南医学院2022-2024年社会化汽车租赁项目</w:t>
      </w:r>
      <w:r>
        <w:rPr>
          <w:rFonts w:hint="eastAsia" w:ascii="仿宋_GB2312" w:eastAsia="仿宋_GB2312"/>
          <w:sz w:val="24"/>
          <w:szCs w:val="24"/>
        </w:rPr>
        <w:t>；</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（二）项目编号：WYGZ202</w:t>
      </w:r>
      <w:r>
        <w:rPr>
          <w:rFonts w:hint="eastAsia" w:ascii="仿宋_GB2312" w:eastAsia="仿宋_GB2312"/>
          <w:sz w:val="24"/>
          <w:szCs w:val="24"/>
          <w:lang w:val="en-US" w:eastAsia="zh-CN"/>
        </w:rPr>
        <w:t>2004</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lang w:eastAsia="zh-CN"/>
        </w:rPr>
        <w:t>（三）</w:t>
      </w:r>
      <w:r>
        <w:rPr>
          <w:rFonts w:hint="eastAsia" w:ascii="仿宋_GB2312" w:eastAsia="仿宋_GB2312"/>
          <w:sz w:val="24"/>
          <w:szCs w:val="24"/>
        </w:rPr>
        <w:t>项目内容：详见项目需求。</w:t>
      </w:r>
    </w:p>
    <w:p>
      <w:pPr>
        <w:adjustRightInd w:val="0"/>
        <w:snapToGrid w:val="0"/>
        <w:spacing w:line="360" w:lineRule="auto"/>
        <w:ind w:firstLine="453" w:firstLineChars="189"/>
        <w:rPr>
          <w:rFonts w:hint="eastAsia" w:ascii="仿宋_GB2312" w:eastAsia="仿宋_GB2312"/>
          <w:sz w:val="24"/>
          <w:szCs w:val="24"/>
          <w:lang w:val="en-US" w:eastAsia="zh-CN"/>
        </w:rPr>
      </w:pPr>
      <w:r>
        <w:rPr>
          <w:rFonts w:hint="eastAsia" w:ascii="仿宋_GB2312" w:eastAsia="仿宋_GB2312"/>
          <w:sz w:val="24"/>
          <w:szCs w:val="24"/>
        </w:rPr>
        <w:t>（四）项目预算：</w:t>
      </w:r>
      <w:r>
        <w:rPr>
          <w:rFonts w:hint="eastAsia" w:ascii="仿宋_GB2312" w:eastAsia="仿宋_GB2312"/>
          <w:sz w:val="24"/>
          <w:szCs w:val="24"/>
          <w:lang w:eastAsia="zh-CN"/>
        </w:rPr>
        <w:t>据实结算</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二、投标资质</w:t>
      </w:r>
      <w:r>
        <w:rPr>
          <w:rFonts w:hint="eastAsia" w:ascii="仿宋_GB2312" w:eastAsia="仿宋_GB2312"/>
          <w:sz w:val="24"/>
          <w:szCs w:val="24"/>
        </w:rPr>
        <w:t>：</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（1）具有独立承担民事责任的能力；</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（2）具有良好的商业信誉和健全的财务会计制度；</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（3）具有履行合同所必需的设备和专业技术能力；</w:t>
      </w:r>
    </w:p>
    <w:p>
      <w:pPr>
        <w:bidi w:val="0"/>
        <w:ind w:firstLine="480" w:firstLineChars="200"/>
        <w:rPr>
          <w:rFonts w:hint="eastAsia" w:ascii="仿宋_GB2312" w:eastAsia="仿宋_GB2312"/>
          <w:sz w:val="24"/>
          <w:szCs w:val="24"/>
        </w:rPr>
      </w:pPr>
      <w:r>
        <w:rPr>
          <w:rFonts w:hint="eastAsia" w:ascii="仿宋_GB2312" w:eastAsia="仿宋_GB2312"/>
          <w:sz w:val="24"/>
          <w:szCs w:val="24"/>
        </w:rPr>
        <w:t>（</w:t>
      </w:r>
      <w:r>
        <w:rPr>
          <w:rFonts w:hint="eastAsia" w:ascii="仿宋_GB2312" w:eastAsia="仿宋_GB2312"/>
          <w:sz w:val="24"/>
          <w:szCs w:val="24"/>
          <w:lang w:val="en-US" w:eastAsia="zh-CN"/>
        </w:rPr>
        <w:t>4</w:t>
      </w:r>
      <w:r>
        <w:rPr>
          <w:rFonts w:hint="eastAsia" w:ascii="仿宋_GB2312" w:eastAsia="仿宋_GB2312"/>
          <w:sz w:val="24"/>
          <w:szCs w:val="24"/>
        </w:rPr>
        <w:t>）本项目不接受联合体投标</w:t>
      </w:r>
    </w:p>
    <w:p>
      <w:pPr>
        <w:bidi w:val="0"/>
        <w:ind w:firstLine="480" w:firstLineChars="200"/>
        <w:rPr>
          <w:rFonts w:hint="eastAsia" w:ascii="仿宋_GB2312" w:hAnsi="仿宋_GB2312" w:eastAsia="仿宋_GB2312" w:cs="仿宋_GB2312"/>
          <w:sz w:val="24"/>
          <w:szCs w:val="24"/>
          <w:lang w:eastAsia="zh-CN"/>
        </w:rPr>
      </w:pPr>
    </w:p>
    <w:p>
      <w:pPr>
        <w:bidi w:val="0"/>
        <w:ind w:firstLine="480" w:firstLineChars="200"/>
        <w:rPr>
          <w:rFonts w:hint="eastAsia"/>
        </w:rPr>
      </w:pPr>
      <w:r>
        <w:rPr>
          <w:rFonts w:hint="eastAsia" w:ascii="仿宋_GB2312" w:eastAsia="仿宋_GB2312"/>
          <w:sz w:val="24"/>
          <w:szCs w:val="24"/>
        </w:rPr>
        <w:t>（</w:t>
      </w:r>
      <w:r>
        <w:rPr>
          <w:rFonts w:hint="eastAsia" w:ascii="仿宋_GB2312" w:eastAsia="仿宋_GB2312"/>
          <w:sz w:val="24"/>
          <w:szCs w:val="24"/>
          <w:lang w:val="en-US" w:eastAsia="zh-CN"/>
        </w:rPr>
        <w:t>5</w:t>
      </w:r>
      <w:r>
        <w:rPr>
          <w:rFonts w:hint="eastAsia" w:ascii="仿宋_GB2312" w:eastAsia="仿宋_GB2312"/>
          <w:sz w:val="24"/>
          <w:szCs w:val="24"/>
        </w:rPr>
        <w:t>）</w:t>
      </w:r>
      <w:r>
        <w:rPr>
          <w:rFonts w:hint="eastAsia" w:ascii="仿宋_GB2312" w:eastAsia="仿宋_GB2312" w:cs="宋体"/>
          <w:color w:val="333333"/>
          <w:sz w:val="24"/>
          <w:szCs w:val="24"/>
          <w:shd w:val="clear" w:color="auto" w:fill="FFFFFF"/>
          <w:lang w:val="en-US" w:eastAsia="zh-CN"/>
        </w:rPr>
        <w:t>租赁公司如经营或提供7座以上的车辆（黄牌照）服务的，必须要具备有效的道路运输经营许可证资质</w:t>
      </w:r>
    </w:p>
    <w:p>
      <w:pPr>
        <w:adjustRightInd w:val="0"/>
        <w:snapToGrid w:val="0"/>
        <w:spacing w:line="360" w:lineRule="auto"/>
        <w:ind w:firstLine="453" w:firstLineChars="189"/>
        <w:rPr>
          <w:rFonts w:hint="eastAsia" w:ascii="仿宋_GB2312" w:eastAsia="仿宋_GB2312"/>
          <w:sz w:val="24"/>
          <w:szCs w:val="24"/>
        </w:rPr>
      </w:pPr>
    </w:p>
    <w:p>
      <w:pPr>
        <w:adjustRightInd w:val="0"/>
        <w:snapToGrid w:val="0"/>
        <w:spacing w:line="360" w:lineRule="auto"/>
        <w:ind w:firstLine="455" w:firstLineChars="189"/>
        <w:rPr>
          <w:rFonts w:ascii="仿宋_GB2312" w:hAnsi="宋体" w:eastAsia="仿宋_GB2312" w:cs="宋体"/>
          <w:b/>
          <w:sz w:val="24"/>
          <w:szCs w:val="24"/>
          <w:lang w:val="zh-CN"/>
        </w:rPr>
      </w:pPr>
      <w:r>
        <w:rPr>
          <w:rFonts w:hint="eastAsia" w:ascii="仿宋_GB2312" w:hAnsi="宋体" w:eastAsia="仿宋_GB2312" w:cs="宋体"/>
          <w:b/>
          <w:sz w:val="24"/>
          <w:szCs w:val="24"/>
          <w:lang w:val="zh-CN"/>
        </w:rPr>
        <w:t>三、报名时间及方式：</w:t>
      </w:r>
    </w:p>
    <w:p>
      <w:pPr>
        <w:adjustRightInd w:val="0"/>
        <w:snapToGrid w:val="0"/>
        <w:spacing w:line="360" w:lineRule="auto"/>
        <w:ind w:firstLine="453" w:firstLineChars="189"/>
        <w:rPr>
          <w:rFonts w:ascii="仿宋_GB2312" w:hAnsi="宋体" w:eastAsia="仿宋_GB2312" w:cs="宋体"/>
          <w:sz w:val="24"/>
          <w:szCs w:val="24"/>
          <w:lang w:val="zh-CN"/>
        </w:rPr>
      </w:pPr>
      <w:r>
        <w:rPr>
          <w:rFonts w:hint="eastAsia" w:ascii="仿宋_GB2312" w:hAnsi="宋体" w:eastAsia="仿宋_GB2312" w:cs="宋体"/>
          <w:sz w:val="24"/>
          <w:szCs w:val="24"/>
          <w:lang w:val="zh-CN"/>
        </w:rPr>
        <w:t>（一）报名时间：202</w:t>
      </w:r>
      <w:r>
        <w:rPr>
          <w:rFonts w:hint="eastAsia" w:ascii="仿宋_GB2312" w:hAnsi="宋体" w:eastAsia="仿宋_GB2312" w:cs="宋体"/>
          <w:sz w:val="24"/>
          <w:szCs w:val="24"/>
          <w:lang w:val="en-US" w:eastAsia="zh-CN"/>
        </w:rPr>
        <w:t>2</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2</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18</w:t>
      </w:r>
      <w:r>
        <w:rPr>
          <w:rFonts w:hint="eastAsia" w:ascii="仿宋_GB2312" w:hAnsi="宋体" w:eastAsia="仿宋_GB2312" w:cs="宋体"/>
          <w:sz w:val="24"/>
          <w:szCs w:val="24"/>
          <w:lang w:val="zh-CN"/>
        </w:rPr>
        <w:t>日-202</w:t>
      </w:r>
      <w:r>
        <w:rPr>
          <w:rFonts w:hint="eastAsia" w:ascii="仿宋_GB2312" w:hAnsi="宋体" w:eastAsia="仿宋_GB2312" w:cs="宋体"/>
          <w:sz w:val="24"/>
          <w:szCs w:val="24"/>
          <w:lang w:val="en-US" w:eastAsia="zh-CN"/>
        </w:rPr>
        <w:t>2</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2</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24</w:t>
      </w:r>
      <w:r>
        <w:rPr>
          <w:rFonts w:hint="eastAsia" w:ascii="仿宋_GB2312" w:hAnsi="宋体" w:eastAsia="仿宋_GB2312" w:cs="宋体"/>
          <w:sz w:val="24"/>
          <w:szCs w:val="24"/>
          <w:lang w:val="zh-CN"/>
        </w:rPr>
        <w:t>日；</w:t>
      </w:r>
    </w:p>
    <w:p>
      <w:pPr>
        <w:pStyle w:val="18"/>
        <w:adjustRightInd w:val="0"/>
        <w:snapToGrid w:val="0"/>
        <w:spacing w:before="0" w:beforeAutospacing="0" w:after="0" w:afterAutospacing="0" w:line="360" w:lineRule="auto"/>
        <w:ind w:firstLine="480" w:firstLineChars="200"/>
        <w:jc w:val="both"/>
        <w:rPr>
          <w:rFonts w:ascii="仿宋_GB2312" w:hAnsi="仿宋" w:eastAsia="仿宋_GB2312"/>
          <w:sz w:val="24"/>
          <w:szCs w:val="24"/>
        </w:rPr>
      </w:pPr>
      <w:r>
        <w:rPr>
          <w:rFonts w:hint="eastAsia" w:ascii="仿宋_GB2312" w:eastAsia="仿宋_GB2312" w:cs="宋体"/>
          <w:sz w:val="24"/>
          <w:szCs w:val="24"/>
          <w:lang w:val="zh-CN"/>
        </w:rPr>
        <w:t>（二）报名方式：皖南医学院2022-2024年社会化汽车租赁项目（项目编号：WYGZ202</w:t>
      </w:r>
      <w:r>
        <w:rPr>
          <w:rFonts w:hint="eastAsia" w:ascii="仿宋_GB2312" w:eastAsia="仿宋_GB2312" w:cs="宋体"/>
          <w:sz w:val="24"/>
          <w:szCs w:val="24"/>
          <w:lang w:val="en-US" w:eastAsia="zh-CN"/>
        </w:rPr>
        <w:t>2004</w:t>
      </w:r>
      <w:r>
        <w:rPr>
          <w:rFonts w:hint="eastAsia" w:ascii="仿宋_GB2312" w:eastAsia="仿宋_GB2312" w:cs="宋体"/>
          <w:sz w:val="24"/>
          <w:szCs w:val="24"/>
          <w:lang w:val="zh-CN"/>
        </w:rPr>
        <w:t>）已在皖南医学院网上采购平台（http://wnmc.youzhicai.com/）发布，请潜在供应商在皖南医学院网上采购平台参与项目报名</w:t>
      </w:r>
      <w:r>
        <w:rPr>
          <w:rFonts w:hint="eastAsia" w:ascii="仿宋_GB2312" w:hAnsi="仿宋" w:eastAsia="仿宋_GB2312"/>
          <w:sz w:val="24"/>
          <w:szCs w:val="24"/>
        </w:rPr>
        <w:t>；</w:t>
      </w:r>
    </w:p>
    <w:p>
      <w:pPr>
        <w:widowControl/>
        <w:adjustRightInd w:val="0"/>
        <w:snapToGrid w:val="0"/>
        <w:spacing w:line="360" w:lineRule="auto"/>
        <w:ind w:firstLine="480" w:firstLineChars="200"/>
        <w:rPr>
          <w:rFonts w:ascii="仿宋_GB2312" w:hAnsi="仿宋" w:eastAsia="仿宋_GB2312"/>
          <w:sz w:val="24"/>
          <w:szCs w:val="24"/>
        </w:rPr>
      </w:pPr>
      <w:r>
        <w:rPr>
          <w:rFonts w:hint="eastAsia" w:ascii="仿宋_GB2312" w:hAnsi="仿宋" w:eastAsia="仿宋_GB2312"/>
          <w:sz w:val="24"/>
          <w:szCs w:val="24"/>
        </w:rPr>
        <w:t>（</w:t>
      </w:r>
      <w:r>
        <w:rPr>
          <w:rFonts w:hint="eastAsia" w:ascii="仿宋_GB2312" w:hAnsi="仿宋" w:eastAsia="仿宋_GB2312"/>
          <w:kern w:val="0"/>
          <w:sz w:val="24"/>
          <w:szCs w:val="24"/>
        </w:rPr>
        <w:t>三）招标文件获取：自行下载。</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四、响应文件份数</w:t>
      </w:r>
      <w:r>
        <w:rPr>
          <w:rFonts w:hint="eastAsia" w:ascii="仿宋_GB2312" w:hAnsi="宋体" w:eastAsia="仿宋_GB2312"/>
          <w:spacing w:val="-6"/>
          <w:sz w:val="24"/>
          <w:szCs w:val="24"/>
        </w:rPr>
        <w:t>：一式三份（正本一份，副本二份），每份响应文件须清楚表明“正本”或“副本”字样。</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五、响应文件递交</w:t>
      </w:r>
      <w:r>
        <w:rPr>
          <w:rFonts w:hint="eastAsia" w:ascii="仿宋_GB2312" w:hAnsi="宋体" w:eastAsia="仿宋_GB2312"/>
          <w:spacing w:val="-6"/>
          <w:sz w:val="24"/>
          <w:szCs w:val="24"/>
        </w:rPr>
        <w:t>：</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（一）响应文件递交截止时间：202</w:t>
      </w:r>
      <w:r>
        <w:rPr>
          <w:rFonts w:hint="eastAsia" w:ascii="仿宋_GB2312" w:hAnsi="宋体" w:eastAsia="仿宋_GB2312"/>
          <w:spacing w:val="-6"/>
          <w:sz w:val="24"/>
          <w:szCs w:val="24"/>
          <w:lang w:val="en-US" w:eastAsia="zh-CN"/>
        </w:rPr>
        <w:t>2</w:t>
      </w:r>
      <w:r>
        <w:rPr>
          <w:rFonts w:hint="eastAsia" w:ascii="仿宋_GB2312" w:hAnsi="宋体" w:eastAsia="仿宋_GB2312"/>
          <w:spacing w:val="-6"/>
          <w:sz w:val="24"/>
          <w:szCs w:val="24"/>
        </w:rPr>
        <w:t>年</w:t>
      </w:r>
      <w:r>
        <w:rPr>
          <w:rFonts w:hint="eastAsia" w:ascii="仿宋_GB2312" w:hAnsi="宋体" w:eastAsia="仿宋_GB2312"/>
          <w:spacing w:val="-6"/>
          <w:sz w:val="24"/>
          <w:szCs w:val="24"/>
          <w:lang w:val="en-US" w:eastAsia="zh-CN"/>
        </w:rPr>
        <w:t>3</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1</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（二）响应文件开启时间：202</w:t>
      </w:r>
      <w:r>
        <w:rPr>
          <w:rFonts w:hint="eastAsia" w:ascii="仿宋_GB2312" w:hAnsi="宋体" w:eastAsia="仿宋_GB2312"/>
          <w:spacing w:val="-6"/>
          <w:sz w:val="24"/>
          <w:szCs w:val="24"/>
          <w:lang w:val="en-US" w:eastAsia="zh-CN"/>
        </w:rPr>
        <w:t>2</w:t>
      </w:r>
      <w:r>
        <w:rPr>
          <w:rFonts w:hint="eastAsia" w:ascii="仿宋_GB2312" w:hAnsi="宋体" w:eastAsia="仿宋_GB2312"/>
          <w:spacing w:val="-6"/>
          <w:sz w:val="24"/>
          <w:szCs w:val="24"/>
        </w:rPr>
        <w:t>年</w:t>
      </w:r>
      <w:r>
        <w:rPr>
          <w:rFonts w:hint="eastAsia" w:ascii="仿宋_GB2312" w:hAnsi="宋体" w:eastAsia="仿宋_GB2312"/>
          <w:spacing w:val="-6"/>
          <w:sz w:val="24"/>
          <w:szCs w:val="24"/>
          <w:lang w:val="en-US" w:eastAsia="zh-CN"/>
        </w:rPr>
        <w:t>3</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1</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（三）地点：芜湖市弋江区文昌西路22号皖南医学院滨江校区图书信息楼东辅楼5楼5002室；</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（四）递交响应文件时间截止后，磋商小组与供应商磋商，请供应商法定代表人或其授权委托代表（提供授权委托书）出席。</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六、联系方式</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（一）联系人：方老师</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（二）联系电话：0553-3932052</w:t>
      </w:r>
    </w:p>
    <w:p>
      <w:pPr>
        <w:adjustRightInd w:val="0"/>
        <w:snapToGrid w:val="0"/>
        <w:spacing w:line="360" w:lineRule="auto"/>
        <w:ind w:firstLine="455" w:firstLineChars="189"/>
        <w:rPr>
          <w:rFonts w:ascii="仿宋_GB2312" w:eastAsia="仿宋_GB2312"/>
          <w:b/>
          <w:sz w:val="24"/>
          <w:szCs w:val="24"/>
        </w:rPr>
      </w:pPr>
      <w:r>
        <w:rPr>
          <w:rFonts w:hint="eastAsia" w:ascii="仿宋_GB2312" w:eastAsia="仿宋_GB2312"/>
          <w:b/>
          <w:sz w:val="24"/>
          <w:szCs w:val="24"/>
        </w:rPr>
        <w:t>七、备注</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我校保留对报名合格单位进行进一步资格审核的权利。</w:t>
      </w: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皖南医学院国有资产管理处</w:t>
      </w: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202</w:t>
      </w:r>
      <w:r>
        <w:rPr>
          <w:rFonts w:hint="eastAsia" w:ascii="仿宋_GB2312" w:eastAsia="仿宋_GB2312"/>
          <w:sz w:val="24"/>
          <w:szCs w:val="24"/>
          <w:lang w:val="en-US" w:eastAsia="zh-CN"/>
        </w:rPr>
        <w:t>2</w:t>
      </w:r>
      <w:r>
        <w:rPr>
          <w:rFonts w:hint="eastAsia" w:ascii="仿宋_GB2312" w:eastAsia="仿宋_GB2312"/>
          <w:sz w:val="24"/>
          <w:szCs w:val="24"/>
        </w:rPr>
        <w:t>年</w:t>
      </w:r>
      <w:r>
        <w:rPr>
          <w:rFonts w:hint="eastAsia" w:ascii="仿宋_GB2312" w:eastAsia="仿宋_GB2312"/>
          <w:sz w:val="24"/>
          <w:szCs w:val="24"/>
          <w:lang w:val="en-US" w:eastAsia="zh-CN"/>
        </w:rPr>
        <w:t>2</w:t>
      </w:r>
      <w:r>
        <w:rPr>
          <w:rFonts w:hint="eastAsia" w:ascii="仿宋_GB2312" w:eastAsia="仿宋_GB2312"/>
          <w:sz w:val="24"/>
          <w:szCs w:val="24"/>
        </w:rPr>
        <w:t>月</w:t>
      </w:r>
      <w:r>
        <w:rPr>
          <w:rFonts w:hint="eastAsia" w:ascii="仿宋_GB2312" w:eastAsia="仿宋_GB2312"/>
          <w:sz w:val="24"/>
          <w:szCs w:val="24"/>
          <w:lang w:val="en-US" w:eastAsia="zh-CN"/>
        </w:rPr>
        <w:t>18</w:t>
      </w:r>
      <w:r>
        <w:rPr>
          <w:rFonts w:hint="eastAsia" w:ascii="仿宋_GB2312" w:eastAsia="仿宋_GB2312"/>
          <w:sz w:val="24"/>
          <w:szCs w:val="24"/>
        </w:rPr>
        <w:t>日</w:t>
      </w:r>
    </w:p>
    <w:bookmarkEnd w:id="160"/>
    <w:p>
      <w:pPr>
        <w:jc w:val="right"/>
        <w:rPr>
          <w:rFonts w:ascii="仿宋_GB2312" w:eastAsia="仿宋_GB2312"/>
          <w:sz w:val="24"/>
          <w:szCs w:val="24"/>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pStyle w:val="3"/>
        <w:snapToGrid w:val="0"/>
        <w:spacing w:before="0" w:after="0"/>
        <w:ind w:left="947" w:firstLine="0"/>
        <w:jc w:val="center"/>
        <w:rPr>
          <w:rFonts w:ascii="华文中宋" w:hAnsi="华文中宋" w:eastAsia="华文中宋"/>
          <w:color w:val="auto"/>
        </w:rPr>
      </w:pPr>
      <w:bookmarkStart w:id="1" w:name="_Toc52892863"/>
      <w:r>
        <w:rPr>
          <w:rFonts w:hint="eastAsia" w:ascii="华文中宋" w:hAnsi="华文中宋" w:eastAsia="华文中宋"/>
          <w:color w:val="auto"/>
        </w:rPr>
        <w:t>第二章  磋商须知前附表</w:t>
      </w:r>
      <w:bookmarkEnd w:id="1"/>
    </w:p>
    <w:tbl>
      <w:tblPr>
        <w:tblStyle w:val="20"/>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条款号</w:t>
            </w:r>
          </w:p>
        </w:tc>
        <w:tc>
          <w:tcPr>
            <w:tcW w:w="1635"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条款名称</w:t>
            </w:r>
          </w:p>
        </w:tc>
        <w:tc>
          <w:tcPr>
            <w:tcW w:w="64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项目名称</w:t>
            </w:r>
          </w:p>
        </w:tc>
        <w:tc>
          <w:tcPr>
            <w:tcW w:w="6480" w:type="dxa"/>
            <w:vAlign w:val="center"/>
          </w:tcPr>
          <w:p>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皖南医学院2022-2024年社会化汽车租赁项目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采购人</w:t>
            </w:r>
          </w:p>
        </w:tc>
        <w:tc>
          <w:tcPr>
            <w:tcW w:w="6480" w:type="dxa"/>
            <w:vAlign w:val="center"/>
          </w:tcPr>
          <w:p>
            <w:pPr>
              <w:widowControl/>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招标人名称：</w:t>
            </w:r>
            <w:r>
              <w:rPr>
                <w:rFonts w:hint="eastAsia" w:ascii="仿宋_GB2312" w:hAnsi="仿宋_GB2312" w:eastAsia="仿宋_GB2312" w:cs="仿宋_GB2312"/>
                <w:sz w:val="24"/>
                <w:szCs w:val="24"/>
              </w:rPr>
              <w:t>皖南医学院</w:t>
            </w:r>
          </w:p>
          <w:p>
            <w:pP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联系人：方老师   </w:t>
            </w:r>
            <w:r>
              <w:rPr>
                <w:rFonts w:hint="eastAsia" w:ascii="仿宋_GB2312" w:hAnsi="仿宋_GB2312" w:eastAsia="仿宋_GB2312" w:cs="仿宋_GB2312"/>
                <w:b/>
                <w:kern w:val="0"/>
                <w:sz w:val="24"/>
                <w:szCs w:val="24"/>
              </w:rPr>
              <w:t xml:space="preserve"> </w:t>
            </w:r>
            <w:r>
              <w:rPr>
                <w:rFonts w:hint="eastAsia" w:ascii="仿宋_GB2312" w:hAnsi="仿宋_GB2312" w:eastAsia="仿宋_GB2312" w:cs="仿宋_GB2312"/>
                <w:kern w:val="0"/>
                <w:sz w:val="24"/>
                <w:szCs w:val="24"/>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招标范围</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项目工期要求</w:t>
            </w:r>
          </w:p>
        </w:tc>
        <w:tc>
          <w:tcPr>
            <w:tcW w:w="6480" w:type="dxa"/>
            <w:vAlign w:val="center"/>
          </w:tcPr>
          <w:p>
            <w:pPr>
              <w:widowControl/>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w:t>
            </w:r>
          </w:p>
        </w:tc>
        <w:tc>
          <w:tcPr>
            <w:tcW w:w="1635" w:type="dxa"/>
            <w:vAlign w:val="center"/>
          </w:tcPr>
          <w:p>
            <w:pPr>
              <w:widowControl/>
              <w:spacing w:line="30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投标人资质条件、能力和信誉</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分包</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2.7</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w:t>
            </w:r>
          </w:p>
        </w:tc>
        <w:tc>
          <w:tcPr>
            <w:tcW w:w="6480" w:type="dxa"/>
            <w:vAlign w:val="center"/>
          </w:tcPr>
          <w:p>
            <w:pP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2.8</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磋商保证金的退付</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无</w:t>
            </w:r>
            <w:r>
              <w:rPr>
                <w:rFonts w:hint="eastAsia" w:ascii="仿宋_GB2312" w:hAnsi="仿宋_GB2312" w:eastAsia="仿宋_GB2312" w:cs="仿宋_GB2312"/>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2.9</w:t>
            </w:r>
          </w:p>
        </w:tc>
        <w:tc>
          <w:tcPr>
            <w:tcW w:w="1635" w:type="dxa"/>
            <w:vAlign w:val="center"/>
          </w:tcPr>
          <w:p>
            <w:pPr>
              <w:widowControl/>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是否允许递交备选投标方案</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2.10</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签字或盖章要求</w:t>
            </w:r>
          </w:p>
        </w:tc>
        <w:tc>
          <w:tcPr>
            <w:tcW w:w="6480" w:type="dxa"/>
            <w:vAlign w:val="center"/>
          </w:tcPr>
          <w:p>
            <w:pPr>
              <w:widowControl/>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2.11</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投标文件份数</w:t>
            </w:r>
          </w:p>
        </w:tc>
        <w:tc>
          <w:tcPr>
            <w:tcW w:w="6480" w:type="dxa"/>
            <w:vAlign w:val="center"/>
          </w:tcPr>
          <w:p>
            <w:pPr>
              <w:rPr>
                <w:rFonts w:ascii="仿宋_GB2312" w:hAnsi="仿宋_GB2312" w:eastAsia="仿宋_GB2312" w:cs="仿宋_GB2312"/>
                <w:sz w:val="21"/>
                <w:szCs w:val="21"/>
              </w:rPr>
            </w:pPr>
            <w:r>
              <w:rPr>
                <w:rFonts w:hint="eastAsia" w:ascii="仿宋_GB2312" w:hAnsi="仿宋_GB2312" w:eastAsia="仿宋_GB2312" w:cs="仿宋_GB2312"/>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2.12</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递交响应文件时间、地点</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2.13</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递交响应文件截止和开标时间、地点、开标条件</w:t>
            </w:r>
          </w:p>
        </w:tc>
        <w:tc>
          <w:tcPr>
            <w:tcW w:w="6480" w:type="dxa"/>
            <w:vAlign w:val="center"/>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投标截止和开标时间、地点：详见磋商公告</w:t>
            </w:r>
          </w:p>
          <w:p>
            <w:pPr>
              <w:rPr>
                <w:rFonts w:ascii="仿宋_GB2312" w:hAnsi="仿宋_GB2312" w:eastAsia="仿宋_GB2312" w:cs="仿宋_GB2312"/>
                <w:b/>
                <w:kern w:val="0"/>
                <w:sz w:val="21"/>
                <w:szCs w:val="21"/>
              </w:rPr>
            </w:pPr>
            <w:r>
              <w:rPr>
                <w:rFonts w:hint="eastAsia" w:ascii="仿宋_GB2312" w:hAnsi="仿宋_GB2312" w:eastAsia="仿宋_GB2312" w:cs="仿宋_GB2312"/>
                <w:kern w:val="0"/>
                <w:sz w:val="21"/>
                <w:szCs w:val="21"/>
              </w:rPr>
              <w:t>开标条件：</w:t>
            </w:r>
            <w:r>
              <w:rPr>
                <w:rFonts w:hint="eastAsia" w:ascii="仿宋_GB2312" w:hAnsi="仿宋_GB2312" w:eastAsia="仿宋_GB2312" w:cs="仿宋_GB2312"/>
                <w:b/>
                <w:kern w:val="0"/>
                <w:sz w:val="21"/>
                <w:szCs w:val="21"/>
              </w:rPr>
              <w:t>递交响应提供下列文件，否则投标人的投标文件不予接收：</w:t>
            </w:r>
          </w:p>
          <w:p>
            <w:pPr>
              <w:rPr>
                <w:rFonts w:ascii="仿宋_GB2312" w:hAnsi="仿宋_GB2312" w:eastAsia="仿宋_GB2312" w:cs="仿宋_GB2312"/>
                <w:kern w:val="0"/>
                <w:sz w:val="21"/>
                <w:szCs w:val="21"/>
              </w:rPr>
            </w:pPr>
            <w:r>
              <w:rPr>
                <w:rFonts w:hint="eastAsia" w:ascii="仿宋_GB2312" w:hAnsi="仿宋_GB2312" w:eastAsia="仿宋_GB2312" w:cs="仿宋_GB2312"/>
                <w:b/>
                <w:kern w:val="0"/>
                <w:sz w:val="21"/>
                <w:szCs w:val="21"/>
              </w:rPr>
              <w:t>（1）法定代表人或授权委托人身份证明、法定代表人授权委托书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2.14</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合同履约担保</w:t>
            </w:r>
          </w:p>
        </w:tc>
        <w:tc>
          <w:tcPr>
            <w:tcW w:w="6480" w:type="dxa"/>
            <w:vAlign w:val="center"/>
          </w:tcPr>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金额：人民币</w:t>
            </w:r>
            <w:r>
              <w:rPr>
                <w:rFonts w:hint="eastAsia" w:ascii="仿宋_GB2312" w:hAnsi="仿宋_GB2312" w:eastAsia="仿宋_GB2312" w:cs="仿宋_GB2312"/>
                <w:kern w:val="0"/>
                <w:sz w:val="21"/>
                <w:szCs w:val="21"/>
                <w:lang w:val="en-US" w:eastAsia="zh-CN"/>
              </w:rPr>
              <w:t>5000</w:t>
            </w:r>
            <w:r>
              <w:rPr>
                <w:rFonts w:hint="eastAsia" w:ascii="仿宋_GB2312" w:hAnsi="仿宋_GB2312" w:eastAsia="仿宋_GB2312" w:cs="仿宋_GB2312"/>
                <w:kern w:val="0"/>
                <w:sz w:val="21"/>
                <w:szCs w:val="21"/>
              </w:rPr>
              <w:t>元。</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形式：从投标单位账户以转账方式汇入到达指定账户（注明“WYGZ202</w:t>
            </w:r>
            <w:r>
              <w:rPr>
                <w:rFonts w:hint="eastAsia" w:ascii="仿宋_GB2312" w:hAnsi="仿宋_GB2312" w:eastAsia="仿宋_GB2312" w:cs="仿宋_GB2312"/>
                <w:kern w:val="0"/>
                <w:sz w:val="21"/>
                <w:szCs w:val="21"/>
                <w:lang w:val="en-US" w:eastAsia="zh-CN"/>
              </w:rPr>
              <w:t>2004履约保</w:t>
            </w:r>
            <w:r>
              <w:rPr>
                <w:rFonts w:hint="eastAsia" w:ascii="仿宋_GB2312" w:hAnsi="仿宋_GB2312" w:eastAsia="仿宋_GB2312" w:cs="仿宋_GB2312"/>
                <w:kern w:val="0"/>
                <w:sz w:val="21"/>
                <w:szCs w:val="21"/>
              </w:rPr>
              <w:t>证金”）</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开 户 名：皖南医学院</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开户银行：安徽省芜湖市建行中山路支行</w:t>
            </w:r>
          </w:p>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帐　　号：34001672208050139762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2.15</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履约保证金交纳及退付</w:t>
            </w:r>
          </w:p>
        </w:tc>
        <w:tc>
          <w:tcPr>
            <w:tcW w:w="6480" w:type="dxa"/>
            <w:vAlign w:val="center"/>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磋商有效期</w:t>
            </w:r>
          </w:p>
        </w:tc>
        <w:tc>
          <w:tcPr>
            <w:tcW w:w="6480" w:type="dxa"/>
            <w:vAlign w:val="center"/>
          </w:tcPr>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自磋商之日起30天内。</w:t>
            </w:r>
          </w:p>
        </w:tc>
      </w:tr>
    </w:tbl>
    <w:p>
      <w:pPr>
        <w:pStyle w:val="3"/>
        <w:snapToGrid w:val="0"/>
        <w:spacing w:before="0" w:after="0"/>
        <w:jc w:val="center"/>
        <w:rPr>
          <w:rFonts w:ascii="华文中宋" w:hAnsi="华文中宋" w:eastAsia="华文中宋"/>
          <w:color w:val="auto"/>
        </w:rPr>
      </w:pPr>
    </w:p>
    <w:p>
      <w:pPr>
        <w:pStyle w:val="3"/>
        <w:snapToGrid w:val="0"/>
        <w:spacing w:before="0" w:after="0"/>
        <w:jc w:val="center"/>
        <w:rPr>
          <w:rFonts w:ascii="华文中宋" w:hAnsi="华文中宋" w:eastAsia="华文中宋"/>
          <w:color w:val="auto"/>
        </w:rPr>
      </w:pPr>
      <w:bookmarkStart w:id="2" w:name="_Toc52892864"/>
      <w:r>
        <w:rPr>
          <w:rFonts w:hint="eastAsia" w:ascii="华文中宋" w:hAnsi="华文中宋" w:eastAsia="华文中宋"/>
          <w:color w:val="auto"/>
        </w:rPr>
        <w:t>第三章  磋商须知</w:t>
      </w:r>
      <w:bookmarkEnd w:id="2"/>
    </w:p>
    <w:p>
      <w:pPr>
        <w:adjustRightInd w:val="0"/>
        <w:snapToGrid w:val="0"/>
        <w:spacing w:line="360" w:lineRule="auto"/>
        <w:ind w:firstLine="480" w:firstLineChars="200"/>
        <w:rPr>
          <w:rFonts w:ascii="仿宋_GB2312" w:hAnsi="宋体" w:eastAsia="仿宋_GB2312"/>
          <w:sz w:val="24"/>
          <w:szCs w:val="24"/>
        </w:rPr>
      </w:pPr>
      <w:bookmarkStart w:id="3" w:name="_Toc20823275"/>
      <w:bookmarkStart w:id="4" w:name="_Toc403987205"/>
      <w:bookmarkStart w:id="5" w:name="_Toc513029203"/>
      <w:bookmarkStart w:id="6" w:name="_Toc16938519"/>
      <w:bookmarkStart w:id="7" w:name="_Toc120614214"/>
      <w:r>
        <w:rPr>
          <w:rFonts w:hint="eastAsia" w:ascii="仿宋_GB2312" w:hAnsi="宋体" w:eastAsia="仿宋_GB2312"/>
          <w:sz w:val="24"/>
          <w:szCs w:val="24"/>
        </w:rPr>
        <w:t>一、总则</w:t>
      </w:r>
      <w:bookmarkEnd w:id="3"/>
      <w:bookmarkEnd w:id="4"/>
      <w:bookmarkEnd w:id="5"/>
      <w:bookmarkEnd w:id="6"/>
      <w:bookmarkEnd w:id="7"/>
    </w:p>
    <w:p>
      <w:pPr>
        <w:adjustRightInd w:val="0"/>
        <w:snapToGrid w:val="0"/>
        <w:spacing w:line="360" w:lineRule="auto"/>
        <w:ind w:firstLine="480" w:firstLineChars="200"/>
        <w:rPr>
          <w:rFonts w:ascii="仿宋_GB2312" w:eastAsia="仿宋_GB2312"/>
          <w:sz w:val="24"/>
          <w:szCs w:val="24"/>
        </w:rPr>
      </w:pPr>
      <w:bookmarkStart w:id="8" w:name="_Hlt16619475"/>
      <w:bookmarkEnd w:id="8"/>
      <w:bookmarkStart w:id="9" w:name="_Toc513029204"/>
      <w:bookmarkStart w:id="10" w:name="_Toc20823276"/>
      <w:bookmarkStart w:id="11" w:name="_Toc16938520"/>
      <w:r>
        <w:rPr>
          <w:rFonts w:hint="eastAsia" w:ascii="仿宋_GB2312" w:eastAsia="仿宋_GB2312"/>
          <w:sz w:val="24"/>
          <w:szCs w:val="24"/>
        </w:rPr>
        <w:t>（一）采购方式</w:t>
      </w:r>
      <w:bookmarkEnd w:id="9"/>
      <w:bookmarkEnd w:id="10"/>
      <w:bookmarkEnd w:id="11"/>
      <w:r>
        <w:rPr>
          <w:rFonts w:hint="eastAsia" w:ascii="仿宋_GB2312" w:eastAsia="仿宋_GB2312"/>
          <w:sz w:val="24"/>
          <w:szCs w:val="24"/>
        </w:rPr>
        <w:t>及定义</w:t>
      </w:r>
    </w:p>
    <w:p>
      <w:pPr>
        <w:pStyle w:val="31"/>
        <w:snapToGrid w:val="0"/>
        <w:rPr>
          <w:rFonts w:ascii="仿宋_GB2312" w:hAnsi="宋体" w:eastAsia="仿宋_GB2312"/>
          <w:sz w:val="24"/>
          <w:szCs w:val="24"/>
        </w:rPr>
      </w:pPr>
      <w:r>
        <w:rPr>
          <w:rFonts w:hint="eastAsia" w:ascii="仿宋_GB2312" w:hAnsi="宋体" w:eastAsia="仿宋_GB2312"/>
          <w:sz w:val="24"/>
          <w:szCs w:val="24"/>
        </w:rPr>
        <w:t>1.本次采购采用磋商方式，本磋商文件仅适用于磋商公告中所述项目。</w:t>
      </w:r>
    </w:p>
    <w:p>
      <w:pPr>
        <w:pStyle w:val="31"/>
        <w:snapToGrid w:val="0"/>
        <w:rPr>
          <w:rFonts w:ascii="仿宋_GB2312" w:hAnsi="宋体" w:eastAsia="仿宋_GB2312"/>
          <w:sz w:val="24"/>
          <w:szCs w:val="24"/>
        </w:rPr>
      </w:pPr>
      <w:r>
        <w:rPr>
          <w:rFonts w:hint="eastAsia" w:ascii="仿宋_GB2312" w:hAnsi="宋体" w:eastAsia="仿宋_GB2312"/>
          <w:sz w:val="24"/>
          <w:szCs w:val="24"/>
        </w:rPr>
        <w:t>2采购人指本项目的需求方皖南医学院。</w:t>
      </w:r>
    </w:p>
    <w:p>
      <w:pPr>
        <w:adjustRightInd w:val="0"/>
        <w:snapToGrid w:val="0"/>
        <w:spacing w:line="360" w:lineRule="auto"/>
        <w:ind w:firstLine="480" w:firstLineChars="200"/>
        <w:rPr>
          <w:rFonts w:ascii="仿宋_GB2312" w:eastAsia="仿宋_GB2312"/>
          <w:sz w:val="24"/>
          <w:szCs w:val="24"/>
        </w:rPr>
      </w:pPr>
      <w:bookmarkStart w:id="12" w:name="_Toc513029205"/>
      <w:bookmarkStart w:id="13" w:name="_Toc16938521"/>
      <w:bookmarkStart w:id="14" w:name="_Toc20823277"/>
      <w:r>
        <w:rPr>
          <w:rFonts w:hint="eastAsia" w:ascii="仿宋_GB2312" w:eastAsia="仿宋_GB2312"/>
          <w:sz w:val="24"/>
          <w:szCs w:val="24"/>
        </w:rPr>
        <w:t>3.合格的供应商</w:t>
      </w:r>
      <w:bookmarkEnd w:id="12"/>
      <w:bookmarkEnd w:id="13"/>
      <w:bookmarkEnd w:id="14"/>
      <w:r>
        <w:rPr>
          <w:rFonts w:hint="eastAsia" w:ascii="仿宋_GB2312" w:eastAsia="仿宋_GB2312"/>
          <w:sz w:val="24"/>
          <w:szCs w:val="24"/>
        </w:rPr>
        <w:tab/>
      </w:r>
    </w:p>
    <w:p>
      <w:pPr>
        <w:pStyle w:val="31"/>
        <w:snapToGrid w:val="0"/>
        <w:ind w:left="560" w:firstLine="0" w:firstLineChars="0"/>
        <w:rPr>
          <w:rFonts w:ascii="仿宋_GB2312" w:hAnsi="宋体" w:eastAsia="仿宋_GB2312"/>
          <w:sz w:val="24"/>
          <w:szCs w:val="24"/>
        </w:rPr>
      </w:pPr>
      <w:r>
        <w:rPr>
          <w:rFonts w:hint="eastAsia" w:ascii="仿宋_GB2312" w:hAnsi="宋体" w:eastAsia="仿宋_GB2312"/>
          <w:sz w:val="24"/>
          <w:szCs w:val="24"/>
        </w:rPr>
        <w:t>（1）满足磋商公告中供应商的资格条件的规定。</w:t>
      </w:r>
    </w:p>
    <w:p>
      <w:pPr>
        <w:pStyle w:val="31"/>
        <w:snapToGrid w:val="0"/>
        <w:rPr>
          <w:rFonts w:ascii="仿宋_GB2312" w:hAnsi="宋体" w:eastAsia="仿宋_GB2312"/>
          <w:sz w:val="24"/>
          <w:szCs w:val="24"/>
        </w:rPr>
      </w:pPr>
      <w:r>
        <w:rPr>
          <w:rFonts w:hint="eastAsia" w:ascii="仿宋_GB2312" w:hAnsi="宋体" w:eastAsia="仿宋_GB2312"/>
          <w:sz w:val="24"/>
          <w:szCs w:val="24"/>
        </w:rPr>
        <w:t>（2）满足本文件实质性条款的规定。</w:t>
      </w:r>
    </w:p>
    <w:p>
      <w:pPr>
        <w:adjustRightInd w:val="0"/>
        <w:snapToGrid w:val="0"/>
        <w:spacing w:line="360" w:lineRule="auto"/>
        <w:ind w:firstLine="480" w:firstLineChars="200"/>
        <w:rPr>
          <w:rFonts w:ascii="仿宋_GB2312" w:eastAsia="仿宋_GB2312"/>
          <w:sz w:val="24"/>
          <w:szCs w:val="24"/>
        </w:rPr>
      </w:pPr>
      <w:bookmarkStart w:id="15" w:name="_Toc16938522"/>
      <w:bookmarkStart w:id="16" w:name="_Toc20823278"/>
      <w:bookmarkStart w:id="17" w:name="_Toc513029206"/>
      <w:r>
        <w:rPr>
          <w:rFonts w:hint="eastAsia" w:ascii="仿宋_GB2312" w:eastAsia="仿宋_GB2312"/>
          <w:sz w:val="24"/>
          <w:szCs w:val="24"/>
        </w:rPr>
        <w:t>4.适用法律</w:t>
      </w:r>
      <w:bookmarkEnd w:id="15"/>
      <w:bookmarkEnd w:id="16"/>
      <w:bookmarkEnd w:id="17"/>
    </w:p>
    <w:p>
      <w:pPr>
        <w:pStyle w:val="31"/>
        <w:snapToGrid w:val="0"/>
        <w:rPr>
          <w:rFonts w:ascii="仿宋_GB2312" w:hAnsi="宋体" w:eastAsia="仿宋_GB2312"/>
          <w:sz w:val="24"/>
          <w:szCs w:val="24"/>
        </w:rPr>
      </w:pPr>
      <w:r>
        <w:rPr>
          <w:rFonts w:hint="eastAsia" w:ascii="仿宋_GB2312" w:hAnsi="宋体" w:eastAsia="仿宋_GB2312"/>
          <w:sz w:val="24"/>
          <w:szCs w:val="24"/>
        </w:rPr>
        <w:t>本次磋商及由此产生的合同受中华人民共和国有关的法律法规制约和保护。</w:t>
      </w:r>
    </w:p>
    <w:p>
      <w:pPr>
        <w:adjustRightInd w:val="0"/>
        <w:snapToGrid w:val="0"/>
        <w:spacing w:line="360" w:lineRule="auto"/>
        <w:ind w:firstLine="480" w:firstLineChars="200"/>
        <w:rPr>
          <w:rFonts w:ascii="仿宋_GB2312" w:eastAsia="仿宋_GB2312"/>
          <w:sz w:val="24"/>
          <w:szCs w:val="24"/>
        </w:rPr>
      </w:pPr>
      <w:bookmarkStart w:id="18" w:name="_Toc20823279"/>
      <w:bookmarkStart w:id="19" w:name="_Toc16938523"/>
      <w:bookmarkStart w:id="20" w:name="_Toc513029207"/>
      <w:bookmarkStart w:id="21" w:name="_Toc462564067"/>
      <w:r>
        <w:rPr>
          <w:rFonts w:hint="eastAsia" w:ascii="仿宋_GB2312" w:eastAsia="仿宋_GB2312"/>
          <w:sz w:val="24"/>
          <w:szCs w:val="24"/>
        </w:rPr>
        <w:t>5.磋商费用</w:t>
      </w:r>
      <w:bookmarkEnd w:id="18"/>
      <w:bookmarkEnd w:id="19"/>
      <w:bookmarkEnd w:id="20"/>
      <w:bookmarkEnd w:id="21"/>
    </w:p>
    <w:p>
      <w:pPr>
        <w:pStyle w:val="31"/>
        <w:snapToGrid w:val="0"/>
        <w:rPr>
          <w:rFonts w:ascii="仿宋_GB2312" w:hAnsi="宋体" w:eastAsia="仿宋_GB2312"/>
          <w:sz w:val="24"/>
          <w:szCs w:val="24"/>
        </w:rPr>
      </w:pPr>
      <w:r>
        <w:rPr>
          <w:rFonts w:hint="eastAsia" w:ascii="仿宋_GB2312" w:hAnsi="宋体" w:eastAsia="仿宋_GB2312"/>
          <w:sz w:val="24"/>
          <w:szCs w:val="24"/>
        </w:rPr>
        <w:t>（1）供应商应自行承担所有与参加</w:t>
      </w:r>
      <w:r>
        <w:rPr>
          <w:rFonts w:hint="eastAsia" w:ascii="仿宋_GB2312" w:eastAsia="仿宋_GB2312"/>
          <w:sz w:val="24"/>
          <w:szCs w:val="24"/>
        </w:rPr>
        <w:t>磋商</w:t>
      </w:r>
      <w:r>
        <w:rPr>
          <w:rFonts w:hint="eastAsia" w:ascii="仿宋_GB2312" w:hAnsi="宋体" w:eastAsia="仿宋_GB2312"/>
          <w:sz w:val="24"/>
          <w:szCs w:val="24"/>
        </w:rPr>
        <w:t>有关的费用，无论</w:t>
      </w:r>
      <w:r>
        <w:rPr>
          <w:rFonts w:hint="eastAsia" w:ascii="仿宋_GB2312" w:eastAsia="仿宋_GB2312"/>
          <w:sz w:val="24"/>
          <w:szCs w:val="24"/>
        </w:rPr>
        <w:t>磋商</w:t>
      </w:r>
      <w:r>
        <w:rPr>
          <w:rFonts w:hint="eastAsia" w:ascii="仿宋_GB2312" w:hAnsi="宋体" w:eastAsia="仿宋_GB2312"/>
          <w:sz w:val="24"/>
          <w:szCs w:val="24"/>
        </w:rPr>
        <w:t>过程中的做法和结果如何，采购人在任何情况下均无义务和责任承担这些费用。</w:t>
      </w:r>
    </w:p>
    <w:p>
      <w:pPr>
        <w:pStyle w:val="31"/>
        <w:snapToGrid w:val="0"/>
        <w:rPr>
          <w:rFonts w:ascii="仿宋_GB2312" w:hAnsi="宋体" w:eastAsia="仿宋_GB2312"/>
          <w:sz w:val="24"/>
          <w:szCs w:val="24"/>
        </w:rPr>
      </w:pPr>
      <w:r>
        <w:rPr>
          <w:rFonts w:hint="eastAsia" w:ascii="仿宋_GB2312" w:hAnsi="宋体" w:eastAsia="仿宋_GB2312"/>
          <w:sz w:val="24"/>
          <w:szCs w:val="24"/>
        </w:rPr>
        <w:t>（2）本次磋商采购人不收取文件工本费与成交服务费。</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6.磋商文件的约束力</w:t>
      </w:r>
    </w:p>
    <w:p>
      <w:pPr>
        <w:pStyle w:val="31"/>
        <w:snapToGrid w:val="0"/>
        <w:rPr>
          <w:rFonts w:ascii="仿宋_GB2312" w:hAnsi="宋体" w:eastAsia="仿宋_GB2312"/>
          <w:sz w:val="24"/>
          <w:szCs w:val="24"/>
        </w:rPr>
      </w:pPr>
      <w:r>
        <w:rPr>
          <w:rFonts w:hint="eastAsia" w:ascii="仿宋_GB2312" w:hAnsi="宋体" w:eastAsia="仿宋_GB2312"/>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ascii="仿宋_GB2312" w:hAnsi="宋体" w:eastAsia="仿宋_GB2312"/>
          <w:sz w:val="24"/>
          <w:szCs w:val="24"/>
        </w:rPr>
      </w:pPr>
      <w:bookmarkStart w:id="22" w:name="_Toc403987206"/>
      <w:bookmarkStart w:id="23" w:name="_Toc20823281"/>
      <w:bookmarkStart w:id="24" w:name="_Toc513029209"/>
      <w:bookmarkStart w:id="25" w:name="_Toc120614215"/>
      <w:bookmarkStart w:id="26" w:name="_Toc16938525"/>
      <w:r>
        <w:rPr>
          <w:rFonts w:hint="eastAsia" w:ascii="仿宋_GB2312" w:hAnsi="宋体" w:eastAsia="仿宋_GB2312"/>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ascii="仿宋_GB2312" w:eastAsia="仿宋_GB2312"/>
          <w:sz w:val="24"/>
          <w:szCs w:val="24"/>
        </w:rPr>
      </w:pPr>
      <w:bookmarkStart w:id="27" w:name="_Toc513029210"/>
      <w:bookmarkStart w:id="28" w:name="_Toc20823282"/>
      <w:bookmarkStart w:id="29" w:name="_Toc16938526"/>
      <w:r>
        <w:rPr>
          <w:rFonts w:hint="eastAsia" w:ascii="仿宋_GB2312" w:eastAsia="仿宋_GB2312"/>
          <w:sz w:val="24"/>
          <w:szCs w:val="24"/>
        </w:rPr>
        <w:t>1.磋商文件构成</w:t>
      </w:r>
      <w:bookmarkEnd w:id="27"/>
      <w:bookmarkEnd w:id="28"/>
      <w:bookmarkEnd w:id="29"/>
    </w:p>
    <w:p>
      <w:pPr>
        <w:pStyle w:val="31"/>
        <w:snapToGrid w:val="0"/>
        <w:rPr>
          <w:rFonts w:ascii="仿宋_GB2312" w:hAnsi="宋体" w:eastAsia="仿宋_GB2312"/>
          <w:sz w:val="24"/>
          <w:szCs w:val="24"/>
        </w:rPr>
      </w:pPr>
      <w:r>
        <w:rPr>
          <w:rFonts w:hint="eastAsia" w:ascii="仿宋_GB2312" w:hAnsi="宋体" w:eastAsia="仿宋_GB2312"/>
          <w:sz w:val="24"/>
          <w:szCs w:val="24"/>
        </w:rPr>
        <w:t>磋商文件有以下部分组成：</w:t>
      </w:r>
    </w:p>
    <w:p>
      <w:pPr>
        <w:pStyle w:val="31"/>
        <w:snapToGrid w:val="0"/>
        <w:rPr>
          <w:rFonts w:ascii="仿宋_GB2312" w:hAnsi="宋体" w:eastAsia="仿宋_GB2312"/>
          <w:sz w:val="24"/>
          <w:szCs w:val="24"/>
        </w:rPr>
      </w:pPr>
      <w:r>
        <w:rPr>
          <w:rFonts w:hint="eastAsia" w:ascii="仿宋_GB2312" w:hAnsi="宋体" w:eastAsia="仿宋_GB2312"/>
          <w:sz w:val="24"/>
          <w:szCs w:val="24"/>
        </w:rPr>
        <w:t>（1）磋商公告</w:t>
      </w:r>
    </w:p>
    <w:p>
      <w:pPr>
        <w:pStyle w:val="31"/>
        <w:snapToGrid w:val="0"/>
        <w:rPr>
          <w:rFonts w:ascii="仿宋_GB2312" w:hAnsi="宋体" w:eastAsia="仿宋_GB2312"/>
          <w:sz w:val="24"/>
          <w:szCs w:val="24"/>
        </w:rPr>
      </w:pPr>
      <w:r>
        <w:rPr>
          <w:rFonts w:hint="eastAsia" w:ascii="仿宋_GB2312" w:hAnsi="宋体" w:eastAsia="仿宋_GB2312"/>
          <w:sz w:val="24"/>
          <w:szCs w:val="24"/>
        </w:rPr>
        <w:t>（2）磋商须知前附表</w:t>
      </w:r>
    </w:p>
    <w:p>
      <w:pPr>
        <w:pStyle w:val="31"/>
        <w:snapToGrid w:val="0"/>
        <w:rPr>
          <w:rFonts w:ascii="仿宋_GB2312" w:hAnsi="宋体" w:eastAsia="仿宋_GB2312"/>
          <w:sz w:val="24"/>
          <w:szCs w:val="24"/>
        </w:rPr>
      </w:pPr>
      <w:r>
        <w:rPr>
          <w:rFonts w:hint="eastAsia" w:ascii="仿宋_GB2312" w:hAnsi="宋体" w:eastAsia="仿宋_GB2312"/>
          <w:sz w:val="24"/>
          <w:szCs w:val="24"/>
        </w:rPr>
        <w:t>（3）磋商须知</w:t>
      </w:r>
    </w:p>
    <w:p>
      <w:pPr>
        <w:pStyle w:val="31"/>
        <w:snapToGrid w:val="0"/>
        <w:rPr>
          <w:rFonts w:ascii="仿宋_GB2312" w:hAnsi="宋体" w:eastAsia="仿宋_GB2312"/>
          <w:sz w:val="24"/>
          <w:szCs w:val="24"/>
        </w:rPr>
      </w:pPr>
      <w:r>
        <w:rPr>
          <w:rFonts w:hint="eastAsia" w:ascii="仿宋_GB2312" w:hAnsi="宋体" w:eastAsia="仿宋_GB2312"/>
          <w:sz w:val="24"/>
          <w:szCs w:val="24"/>
        </w:rPr>
        <w:t>（4）合同主要条款</w:t>
      </w:r>
    </w:p>
    <w:p>
      <w:pPr>
        <w:pStyle w:val="31"/>
        <w:snapToGrid w:val="0"/>
        <w:rPr>
          <w:rFonts w:ascii="仿宋_GB2312" w:hAnsi="宋体" w:eastAsia="仿宋_GB2312"/>
          <w:sz w:val="24"/>
          <w:szCs w:val="24"/>
        </w:rPr>
      </w:pPr>
      <w:r>
        <w:rPr>
          <w:rFonts w:hint="eastAsia" w:ascii="仿宋_GB2312" w:hAnsi="宋体" w:eastAsia="仿宋_GB2312"/>
          <w:sz w:val="24"/>
          <w:szCs w:val="24"/>
        </w:rPr>
        <w:t>（5）项目需求</w:t>
      </w:r>
    </w:p>
    <w:p>
      <w:pPr>
        <w:pStyle w:val="31"/>
        <w:snapToGrid w:val="0"/>
        <w:rPr>
          <w:rFonts w:ascii="仿宋_GB2312" w:hAnsi="宋体" w:eastAsia="仿宋_GB2312"/>
          <w:sz w:val="24"/>
          <w:szCs w:val="24"/>
        </w:rPr>
      </w:pPr>
      <w:r>
        <w:rPr>
          <w:rFonts w:hint="eastAsia" w:ascii="仿宋_GB2312" w:hAnsi="宋体" w:eastAsia="仿宋_GB2312"/>
          <w:sz w:val="24"/>
          <w:szCs w:val="24"/>
        </w:rPr>
        <w:t>（6）评审标准</w:t>
      </w:r>
    </w:p>
    <w:p>
      <w:pPr>
        <w:pStyle w:val="31"/>
        <w:snapToGrid w:val="0"/>
        <w:rPr>
          <w:rFonts w:ascii="仿宋_GB2312" w:hAnsi="宋体" w:eastAsia="仿宋_GB2312"/>
          <w:sz w:val="24"/>
          <w:szCs w:val="24"/>
        </w:rPr>
      </w:pPr>
      <w:r>
        <w:rPr>
          <w:rFonts w:hint="eastAsia" w:ascii="仿宋_GB2312" w:hAnsi="宋体" w:eastAsia="仿宋_GB2312"/>
          <w:sz w:val="24"/>
          <w:szCs w:val="24"/>
        </w:rPr>
        <w:t>（7）响应文件格式</w:t>
      </w:r>
    </w:p>
    <w:p>
      <w:pPr>
        <w:adjustRightInd w:val="0"/>
        <w:snapToGrid w:val="0"/>
        <w:spacing w:line="360" w:lineRule="auto"/>
        <w:ind w:firstLine="480" w:firstLineChars="200"/>
        <w:rPr>
          <w:rFonts w:ascii="仿宋_GB2312" w:eastAsia="仿宋_GB2312"/>
          <w:sz w:val="24"/>
          <w:szCs w:val="24"/>
        </w:rPr>
      </w:pPr>
      <w:bookmarkStart w:id="30" w:name="_Toc16938527"/>
      <w:bookmarkStart w:id="31" w:name="_Toc20823283"/>
      <w:bookmarkStart w:id="32" w:name="_Toc462564070"/>
      <w:bookmarkStart w:id="33" w:name="_Toc513029211"/>
      <w:r>
        <w:rPr>
          <w:rFonts w:hint="eastAsia" w:ascii="仿宋_GB2312" w:eastAsia="仿宋_GB2312"/>
          <w:sz w:val="24"/>
          <w:szCs w:val="24"/>
        </w:rPr>
        <w:t>2.磋商文件的澄清</w:t>
      </w:r>
      <w:bookmarkEnd w:id="30"/>
      <w:bookmarkEnd w:id="31"/>
      <w:bookmarkEnd w:id="32"/>
      <w:bookmarkEnd w:id="33"/>
      <w:r>
        <w:rPr>
          <w:rFonts w:hint="eastAsia" w:ascii="仿宋_GB2312" w:eastAsia="仿宋_GB2312"/>
          <w:sz w:val="24"/>
          <w:szCs w:val="24"/>
        </w:rPr>
        <w:t>及修改</w:t>
      </w:r>
    </w:p>
    <w:p>
      <w:pPr>
        <w:pStyle w:val="31"/>
        <w:snapToGrid w:val="0"/>
        <w:rPr>
          <w:rFonts w:ascii="仿宋_GB2312" w:hAnsi="宋体" w:eastAsia="仿宋_GB2312"/>
          <w:sz w:val="24"/>
          <w:szCs w:val="24"/>
        </w:rPr>
      </w:pPr>
      <w:r>
        <w:rPr>
          <w:rFonts w:hint="eastAsia" w:ascii="仿宋_GB2312" w:hAnsi="宋体" w:eastAsia="仿宋_GB2312"/>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480" w:firstLineChars="200"/>
        <w:rPr>
          <w:rFonts w:ascii="仿宋_GB2312" w:hAnsi="宋体" w:eastAsia="仿宋_GB2312"/>
          <w:sz w:val="24"/>
          <w:szCs w:val="24"/>
        </w:rPr>
      </w:pPr>
      <w:bookmarkStart w:id="34" w:name="_Toc462564072"/>
      <w:bookmarkStart w:id="35" w:name="_Toc403987207"/>
      <w:bookmarkStart w:id="36" w:name="_Toc16938529"/>
      <w:bookmarkStart w:id="37" w:name="_Toc513029213"/>
      <w:bookmarkStart w:id="38" w:name="_Toc20823285"/>
      <w:bookmarkStart w:id="39" w:name="_Toc120614216"/>
      <w:r>
        <w:rPr>
          <w:rFonts w:hint="eastAsia" w:ascii="仿宋_GB2312" w:hAnsi="宋体" w:eastAsia="仿宋_GB2312"/>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2.供应商应当按照磋商文件的要求编制响应文件，并</w:t>
      </w:r>
      <w:bookmarkStart w:id="40" w:name="我"/>
      <w:bookmarkEnd w:id="40"/>
      <w:r>
        <w:rPr>
          <w:rFonts w:hint="eastAsia" w:ascii="仿宋_GB2312" w:eastAsia="仿宋_GB2312"/>
          <w:sz w:val="24"/>
          <w:szCs w:val="24"/>
        </w:rPr>
        <w:t>对其提交的响应文件的真实性、合法性承担法律责任。</w:t>
      </w:r>
    </w:p>
    <w:p>
      <w:pPr>
        <w:adjustRightInd w:val="0"/>
        <w:snapToGrid w:val="0"/>
        <w:spacing w:line="360" w:lineRule="auto"/>
        <w:ind w:firstLine="480" w:firstLineChars="200"/>
        <w:rPr>
          <w:rFonts w:ascii="仿宋_GB2312" w:eastAsia="仿宋_GB2312"/>
          <w:sz w:val="24"/>
          <w:szCs w:val="24"/>
        </w:rPr>
      </w:pPr>
      <w:bookmarkStart w:id="41" w:name="_Toc462564073"/>
      <w:bookmarkStart w:id="42" w:name="_Toc20823286"/>
      <w:bookmarkStart w:id="43" w:name="_Toc16938530"/>
      <w:bookmarkStart w:id="44" w:name="_Toc513029214"/>
      <w:r>
        <w:rPr>
          <w:rFonts w:hint="eastAsia" w:ascii="仿宋_GB2312" w:eastAsia="仿宋_GB2312"/>
          <w:sz w:val="24"/>
          <w:szCs w:val="24"/>
        </w:rPr>
        <w:t>3.响应文件的语言及度量衡单位</w:t>
      </w:r>
      <w:bookmarkEnd w:id="41"/>
      <w:bookmarkEnd w:id="42"/>
      <w:bookmarkEnd w:id="43"/>
      <w:bookmarkEnd w:id="44"/>
    </w:p>
    <w:p>
      <w:pPr>
        <w:pStyle w:val="31"/>
        <w:snapToGrid w:val="0"/>
        <w:rPr>
          <w:rFonts w:ascii="仿宋_GB2312" w:hAnsi="宋体" w:eastAsia="仿宋_GB2312"/>
          <w:sz w:val="24"/>
          <w:szCs w:val="24"/>
        </w:rPr>
      </w:pPr>
      <w:r>
        <w:rPr>
          <w:rFonts w:hint="eastAsia" w:ascii="仿宋_GB2312" w:hAnsi="宋体" w:eastAsia="仿宋_GB2312"/>
          <w:sz w:val="24"/>
          <w:szCs w:val="24"/>
        </w:rPr>
        <w:t>（1）供应商提交的响应文件以及供应商与我校就有关磋商的所有来往通知、函件和文件均应使用</w:t>
      </w:r>
      <w:r>
        <w:rPr>
          <w:rFonts w:hint="eastAsia" w:ascii="仿宋_GB2312" w:hAnsi="宋体" w:eastAsia="仿宋_GB2312"/>
          <w:bCs/>
          <w:sz w:val="24"/>
          <w:szCs w:val="24"/>
        </w:rPr>
        <w:t>简体中文</w:t>
      </w:r>
      <w:r>
        <w:rPr>
          <w:rFonts w:hint="eastAsia" w:ascii="仿宋_GB2312" w:hAnsi="宋体" w:eastAsia="仿宋_GB2312"/>
          <w:sz w:val="24"/>
          <w:szCs w:val="24"/>
        </w:rPr>
        <w:t>。</w:t>
      </w:r>
    </w:p>
    <w:p>
      <w:pPr>
        <w:pStyle w:val="31"/>
        <w:snapToGrid w:val="0"/>
        <w:rPr>
          <w:rFonts w:ascii="仿宋_GB2312" w:hAnsi="宋体" w:eastAsia="仿宋_GB2312"/>
          <w:sz w:val="24"/>
          <w:szCs w:val="24"/>
        </w:rPr>
      </w:pPr>
      <w:r>
        <w:rPr>
          <w:rFonts w:hint="eastAsia" w:ascii="仿宋_GB2312" w:hAnsi="宋体" w:eastAsia="仿宋_GB2312"/>
          <w:sz w:val="24"/>
          <w:szCs w:val="24"/>
        </w:rPr>
        <w:t>（2）除技术性能另有规定外，响应文件所使用的度量衡单位，均须采用国家法定计量单位。</w:t>
      </w:r>
    </w:p>
    <w:p>
      <w:pPr>
        <w:adjustRightInd w:val="0"/>
        <w:snapToGrid w:val="0"/>
        <w:spacing w:line="360" w:lineRule="auto"/>
        <w:ind w:firstLine="480" w:firstLineChars="200"/>
        <w:rPr>
          <w:rFonts w:ascii="仿宋_GB2312" w:eastAsia="仿宋_GB2312"/>
          <w:sz w:val="24"/>
          <w:szCs w:val="24"/>
        </w:rPr>
      </w:pPr>
      <w:bookmarkStart w:id="45" w:name="_Toc462564074"/>
      <w:bookmarkStart w:id="46" w:name="_Toc20823287"/>
      <w:bookmarkStart w:id="47" w:name="_Toc513029215"/>
      <w:bookmarkStart w:id="48" w:name="_Toc16938531"/>
      <w:r>
        <w:rPr>
          <w:rFonts w:hint="eastAsia" w:ascii="仿宋_GB2312" w:eastAsia="仿宋_GB2312"/>
          <w:sz w:val="24"/>
          <w:szCs w:val="24"/>
        </w:rPr>
        <w:t>4.响应文件构成</w:t>
      </w:r>
      <w:bookmarkEnd w:id="45"/>
      <w:bookmarkEnd w:id="46"/>
      <w:bookmarkEnd w:id="47"/>
      <w:bookmarkEnd w:id="48"/>
    </w:p>
    <w:p>
      <w:pPr>
        <w:pStyle w:val="31"/>
        <w:snapToGrid w:val="0"/>
        <w:rPr>
          <w:rFonts w:ascii="仿宋_GB2312" w:hAnsi="宋体" w:eastAsia="仿宋_GB2312"/>
          <w:sz w:val="24"/>
          <w:szCs w:val="24"/>
        </w:rPr>
      </w:pPr>
      <w:r>
        <w:rPr>
          <w:rFonts w:hint="eastAsia" w:ascii="仿宋_GB2312" w:hAnsi="宋体" w:eastAsia="仿宋_GB2312"/>
          <w:sz w:val="24"/>
          <w:szCs w:val="24"/>
        </w:rPr>
        <w:t>（1）供应商应该按照磋商文件的要求编写响应文件应。</w:t>
      </w:r>
    </w:p>
    <w:p>
      <w:pPr>
        <w:pStyle w:val="31"/>
        <w:snapToGrid w:val="0"/>
        <w:rPr>
          <w:rFonts w:ascii="仿宋_GB2312" w:hAnsi="宋体" w:eastAsia="仿宋_GB2312"/>
          <w:sz w:val="24"/>
          <w:szCs w:val="24"/>
        </w:rPr>
      </w:pPr>
      <w:r>
        <w:rPr>
          <w:rFonts w:hint="eastAsia" w:ascii="仿宋_GB2312" w:hAnsi="宋体" w:eastAsia="仿宋_GB2312"/>
          <w:sz w:val="24"/>
          <w:szCs w:val="24"/>
        </w:rPr>
        <w:t>（2）供应商应将响应文件按顺序装订成册，并编制响应文件资料目录。</w:t>
      </w:r>
    </w:p>
    <w:p>
      <w:pPr>
        <w:adjustRightInd w:val="0"/>
        <w:snapToGrid w:val="0"/>
        <w:spacing w:line="360" w:lineRule="auto"/>
        <w:ind w:firstLine="480" w:firstLineChars="200"/>
        <w:rPr>
          <w:rFonts w:ascii="仿宋_GB2312" w:eastAsia="仿宋_GB2312"/>
          <w:sz w:val="24"/>
          <w:szCs w:val="24"/>
        </w:rPr>
      </w:pPr>
      <w:bookmarkStart w:id="49" w:name="_Hlt26670360"/>
      <w:bookmarkEnd w:id="49"/>
      <w:bookmarkStart w:id="50" w:name="_Hlt26954838"/>
      <w:bookmarkEnd w:id="50"/>
      <w:bookmarkStart w:id="51" w:name="_Hlt26668975"/>
      <w:bookmarkEnd w:id="51"/>
      <w:bookmarkStart w:id="52" w:name="_Toc14577357"/>
      <w:bookmarkStart w:id="53" w:name="_Toc49090509"/>
      <w:bookmarkStart w:id="54" w:name="_Toc513029219"/>
      <w:bookmarkStart w:id="55" w:name="_Toc14577354"/>
      <w:bookmarkStart w:id="56" w:name="_Toc513029216"/>
      <w:bookmarkStart w:id="57" w:name="_Toc49090507"/>
      <w:r>
        <w:rPr>
          <w:rFonts w:hint="eastAsia" w:ascii="仿宋_GB2312" w:eastAsia="仿宋_GB2312"/>
          <w:sz w:val="24"/>
          <w:szCs w:val="24"/>
        </w:rPr>
        <w:t>5.证明供应商资格及符合磋商文件规定的文件</w:t>
      </w:r>
      <w:bookmarkEnd w:id="52"/>
      <w:bookmarkEnd w:id="53"/>
      <w:bookmarkEnd w:id="54"/>
    </w:p>
    <w:p>
      <w:pPr>
        <w:pStyle w:val="31"/>
        <w:snapToGrid w:val="0"/>
        <w:rPr>
          <w:rFonts w:ascii="仿宋_GB2312" w:hAnsi="宋体" w:eastAsia="仿宋_GB2312"/>
          <w:sz w:val="24"/>
          <w:szCs w:val="24"/>
        </w:rPr>
      </w:pPr>
      <w:bookmarkStart w:id="58" w:name="_Hlt26668999"/>
      <w:bookmarkEnd w:id="58"/>
      <w:r>
        <w:rPr>
          <w:rFonts w:hint="eastAsia" w:ascii="仿宋_GB2312" w:hAnsi="宋体" w:eastAsia="仿宋_GB2312"/>
          <w:sz w:val="24"/>
          <w:szCs w:val="24"/>
        </w:rPr>
        <w:t>（1）供应商应按要求提交资格证明文件及符合磋商文件规定的文件。</w:t>
      </w:r>
    </w:p>
    <w:p>
      <w:pPr>
        <w:pStyle w:val="31"/>
        <w:snapToGrid w:val="0"/>
        <w:rPr>
          <w:rFonts w:ascii="仿宋_GB2312" w:hAnsi="宋体" w:eastAsia="仿宋_GB2312"/>
          <w:sz w:val="24"/>
          <w:szCs w:val="24"/>
        </w:rPr>
      </w:pPr>
      <w:r>
        <w:rPr>
          <w:rFonts w:hint="eastAsia" w:ascii="仿宋_GB2312" w:hAnsi="宋体" w:eastAsia="仿宋_GB2312"/>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ascii="仿宋_GB2312" w:eastAsia="仿宋_GB2312"/>
          <w:sz w:val="24"/>
          <w:szCs w:val="24"/>
        </w:rPr>
      </w:pPr>
      <w:bookmarkStart w:id="59" w:name="_Toc14577355"/>
      <w:bookmarkStart w:id="60" w:name="_Toc49090508"/>
      <w:r>
        <w:rPr>
          <w:rFonts w:hint="eastAsia" w:ascii="仿宋_GB2312" w:eastAsia="仿宋_GB2312"/>
          <w:sz w:val="24"/>
          <w:szCs w:val="24"/>
        </w:rPr>
        <w:t>6.报价</w:t>
      </w:r>
      <w:bookmarkEnd w:id="59"/>
      <w:bookmarkStart w:id="61" w:name="_Hlt26670373"/>
      <w:bookmarkEnd w:id="61"/>
      <w:r>
        <w:rPr>
          <w:rFonts w:hint="eastAsia" w:ascii="仿宋_GB2312" w:eastAsia="仿宋_GB2312"/>
          <w:sz w:val="24"/>
          <w:szCs w:val="24"/>
        </w:rPr>
        <w:t>明细表</w:t>
      </w:r>
      <w:bookmarkEnd w:id="60"/>
    </w:p>
    <w:p>
      <w:pPr>
        <w:adjustRightInd w:val="0"/>
        <w:snapToGrid w:val="0"/>
        <w:spacing w:line="360" w:lineRule="auto"/>
        <w:ind w:firstLine="480" w:firstLineChars="200"/>
        <w:rPr>
          <w:rFonts w:ascii="仿宋_GB2312" w:eastAsia="仿宋_GB2312"/>
          <w:bCs/>
          <w:sz w:val="24"/>
          <w:szCs w:val="24"/>
        </w:rPr>
      </w:pPr>
      <w:r>
        <w:rPr>
          <w:rFonts w:hint="eastAsia" w:ascii="仿宋_GB2312" w:eastAsia="仿宋_GB2312"/>
          <w:sz w:val="24"/>
          <w:szCs w:val="24"/>
        </w:rPr>
        <w:t>（1）供应商应按照磋商文件规定格式填报报价</w:t>
      </w:r>
      <w:bookmarkStart w:id="62" w:name="_Hlt26670399"/>
      <w:bookmarkEnd w:id="62"/>
      <w:r>
        <w:rPr>
          <w:rFonts w:hint="eastAsia" w:ascii="仿宋_GB2312" w:eastAsia="仿宋_GB2312"/>
          <w:sz w:val="24"/>
          <w:szCs w:val="24"/>
        </w:rPr>
        <w:t>费率。每项费用只允许有一个报价，任何有选择的报价将不予接受。（如有）</w:t>
      </w:r>
    </w:p>
    <w:p>
      <w:pPr>
        <w:pStyle w:val="31"/>
        <w:snapToGrid w:val="0"/>
        <w:rPr>
          <w:rFonts w:ascii="仿宋_GB2312" w:hAnsi="宋体" w:eastAsia="仿宋_GB2312"/>
          <w:sz w:val="24"/>
          <w:szCs w:val="24"/>
        </w:rPr>
      </w:pPr>
      <w:r>
        <w:rPr>
          <w:rFonts w:hint="eastAsia" w:ascii="仿宋_GB2312" w:hAnsi="宋体" w:eastAsia="仿宋_GB2312"/>
          <w:bCs/>
          <w:sz w:val="24"/>
          <w:szCs w:val="24"/>
        </w:rPr>
        <w:t>（2）</w:t>
      </w:r>
      <w:r>
        <w:rPr>
          <w:rFonts w:hint="eastAsia" w:ascii="仿宋_GB2312" w:hAnsi="宋体" w:eastAsia="仿宋_GB2312"/>
          <w:sz w:val="24"/>
          <w:szCs w:val="24"/>
        </w:rPr>
        <w:t>磋商报价</w:t>
      </w:r>
      <w:r>
        <w:rPr>
          <w:rFonts w:hint="eastAsia" w:ascii="仿宋_GB2312" w:hAnsi="宋体" w:eastAsia="仿宋_GB2312"/>
          <w:spacing w:val="-6"/>
          <w:sz w:val="24"/>
          <w:szCs w:val="24"/>
        </w:rPr>
        <w:t>应包括</w:t>
      </w:r>
      <w:r>
        <w:rPr>
          <w:rFonts w:hint="eastAsia" w:ascii="仿宋_GB2312" w:hAnsi="宋体" w:eastAsia="仿宋_GB2312"/>
          <w:sz w:val="24"/>
          <w:szCs w:val="24"/>
        </w:rPr>
        <w:t>所需人工费、材料费、其他（保险费，以及合同明示或暗示的风险、责任和义务等）费，以及管理费、利润和规费、税金等一切费用。</w:t>
      </w:r>
    </w:p>
    <w:p>
      <w:pPr>
        <w:pStyle w:val="31"/>
        <w:snapToGrid w:val="0"/>
        <w:ind w:firstLine="482"/>
        <w:rPr>
          <w:rFonts w:ascii="仿宋_GB2312" w:hAnsi="宋体" w:eastAsia="仿宋_GB2312"/>
          <w:bCs/>
          <w:sz w:val="24"/>
          <w:szCs w:val="24"/>
        </w:rPr>
      </w:pPr>
      <w:r>
        <w:rPr>
          <w:rFonts w:hint="eastAsia" w:ascii="仿宋_GB2312" w:hAnsi="宋体" w:eastAsia="仿宋_GB2312"/>
          <w:b/>
          <w:sz w:val="24"/>
          <w:szCs w:val="24"/>
        </w:rPr>
        <w:t>最终报价一经确定不得更改，且不受市场价格波动影响。</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（3）其它费用处理</w:t>
      </w:r>
    </w:p>
    <w:p>
      <w:pPr>
        <w:pStyle w:val="31"/>
        <w:snapToGrid w:val="0"/>
        <w:rPr>
          <w:rFonts w:ascii="仿宋_GB2312" w:hAnsi="宋体" w:eastAsia="仿宋_GB2312"/>
          <w:sz w:val="24"/>
          <w:szCs w:val="24"/>
        </w:rPr>
      </w:pPr>
      <w:r>
        <w:rPr>
          <w:rFonts w:hint="eastAsia" w:ascii="仿宋_GB2312" w:hAnsi="宋体" w:eastAsia="仿宋_GB2312"/>
          <w:sz w:val="24"/>
          <w:szCs w:val="24"/>
        </w:rPr>
        <w:t>磋商文件未列明，而供应商认为必需的费用也需列入报价。</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7.响应文件货币</w:t>
      </w:r>
    </w:p>
    <w:p>
      <w:pPr>
        <w:pStyle w:val="31"/>
        <w:snapToGrid w:val="0"/>
        <w:rPr>
          <w:rFonts w:ascii="仿宋_GB2312" w:hAnsi="宋体" w:eastAsia="仿宋_GB2312"/>
          <w:sz w:val="24"/>
          <w:szCs w:val="24"/>
        </w:rPr>
      </w:pPr>
      <w:r>
        <w:rPr>
          <w:rFonts w:hint="eastAsia" w:ascii="仿宋_GB2312" w:hAnsi="宋体" w:eastAsia="仿宋_GB2312"/>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ascii="仿宋_GB2312" w:eastAsia="仿宋_GB2312"/>
          <w:sz w:val="24"/>
          <w:szCs w:val="24"/>
        </w:rPr>
      </w:pPr>
      <w:bookmarkStart w:id="63" w:name="_Hlt26954731"/>
      <w:bookmarkEnd w:id="63"/>
      <w:bookmarkStart w:id="64" w:name="_Hlt26954846"/>
      <w:bookmarkEnd w:id="64"/>
      <w:bookmarkStart w:id="65" w:name="_Hlt26670482"/>
      <w:bookmarkEnd w:id="65"/>
      <w:bookmarkStart w:id="66" w:name="_Hlt26670486"/>
      <w:bookmarkEnd w:id="66"/>
      <w:bookmarkStart w:id="67" w:name="_Hlt26954848"/>
      <w:bookmarkEnd w:id="67"/>
      <w:bookmarkStart w:id="68" w:name="_Toc49090510"/>
      <w:bookmarkStart w:id="69" w:name="_Toc14577359"/>
      <w:r>
        <w:rPr>
          <w:rFonts w:hint="eastAsia" w:ascii="仿宋_GB2312" w:eastAsia="仿宋_GB2312"/>
          <w:sz w:val="24"/>
          <w:szCs w:val="24"/>
        </w:rPr>
        <w:t>8.磋商保证金</w:t>
      </w:r>
      <w:bookmarkEnd w:id="68"/>
      <w:bookmarkEnd w:id="69"/>
    </w:p>
    <w:p>
      <w:pPr>
        <w:pStyle w:val="31"/>
        <w:snapToGrid w:val="0"/>
        <w:rPr>
          <w:rFonts w:ascii="仿宋_GB2312" w:hAnsi="宋体" w:eastAsia="仿宋_GB2312"/>
          <w:sz w:val="24"/>
          <w:szCs w:val="24"/>
        </w:rPr>
      </w:pPr>
      <w:bookmarkStart w:id="70" w:name="_Hlt26954850"/>
      <w:bookmarkEnd w:id="70"/>
      <w:bookmarkStart w:id="71" w:name="_Hlt26954734"/>
      <w:bookmarkEnd w:id="71"/>
      <w:bookmarkStart w:id="72" w:name="_Hlt26670489"/>
      <w:bookmarkEnd w:id="72"/>
      <w:bookmarkStart w:id="73" w:name="_Toc14577360"/>
      <w:bookmarkStart w:id="74" w:name="_Toc49090511"/>
      <w:r>
        <w:rPr>
          <w:rFonts w:hint="eastAsia" w:ascii="仿宋_GB2312" w:hAnsi="宋体" w:eastAsia="仿宋_GB2312"/>
          <w:sz w:val="24"/>
          <w:szCs w:val="24"/>
        </w:rPr>
        <w:t>（1）供应商提交的磋商保证金必须在响应文件提交截止时间前一天下午14：00前到账，并作为其磋商响应的组成部分，否则将被视为非实质性响应而予以拒绝。</w:t>
      </w:r>
    </w:p>
    <w:p>
      <w:pPr>
        <w:pStyle w:val="31"/>
        <w:snapToGrid w:val="0"/>
        <w:rPr>
          <w:rFonts w:ascii="仿宋_GB2312" w:hAnsi="宋体" w:eastAsia="仿宋_GB2312"/>
          <w:sz w:val="24"/>
          <w:szCs w:val="24"/>
        </w:rPr>
      </w:pPr>
      <w:r>
        <w:rPr>
          <w:rFonts w:hint="eastAsia" w:ascii="仿宋_GB2312" w:hAnsi="宋体" w:eastAsia="仿宋_GB2312"/>
          <w:sz w:val="24"/>
          <w:szCs w:val="24"/>
        </w:rPr>
        <w:t>（2）中标单位的磋商保证金，将自动转为履约保证金，不足部分在双方签订合同前交齐。</w:t>
      </w:r>
    </w:p>
    <w:p>
      <w:pPr>
        <w:pStyle w:val="31"/>
        <w:snapToGrid w:val="0"/>
        <w:rPr>
          <w:rFonts w:ascii="仿宋_GB2312" w:hAnsi="宋体" w:eastAsia="仿宋_GB2312"/>
          <w:sz w:val="24"/>
          <w:szCs w:val="24"/>
        </w:rPr>
      </w:pPr>
      <w:r>
        <w:rPr>
          <w:rFonts w:hint="eastAsia" w:ascii="仿宋_GB2312" w:hAnsi="宋体" w:eastAsia="仿宋_GB2312"/>
          <w:sz w:val="24"/>
          <w:szCs w:val="24"/>
        </w:rPr>
        <w:t>（3）未成交供应商的磋商保证金将在成交通知书发出后10个工作日内退还。</w:t>
      </w:r>
    </w:p>
    <w:p>
      <w:pPr>
        <w:pStyle w:val="31"/>
        <w:snapToGrid w:val="0"/>
        <w:rPr>
          <w:rFonts w:ascii="仿宋_GB2312" w:hAnsi="宋体" w:eastAsia="仿宋_GB2312"/>
          <w:sz w:val="24"/>
          <w:szCs w:val="24"/>
        </w:rPr>
      </w:pPr>
      <w:r>
        <w:rPr>
          <w:rFonts w:hint="eastAsia" w:ascii="仿宋_GB2312" w:hAnsi="宋体" w:eastAsia="仿宋_GB2312"/>
          <w:sz w:val="24"/>
          <w:szCs w:val="24"/>
        </w:rPr>
        <w:t xml:space="preserve">（4）有下列情形之一的，磋商保证金不予退还： </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1）供应商在提交响应文件截止时间后撤回响应文件的；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2）供应商在响应文件中提供虚假材料的；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3）除因不可抗力或磋商文件认可的情形以外，成交供应商不与采购人签订合同的；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4）供应商与采购人、其他供应商恶意串通的；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5）磋商文件规定的其他情形。</w:t>
      </w:r>
    </w:p>
    <w:bookmarkEnd w:id="73"/>
    <w:bookmarkEnd w:id="74"/>
    <w:p>
      <w:pPr>
        <w:adjustRightInd w:val="0"/>
        <w:snapToGrid w:val="0"/>
        <w:spacing w:line="360" w:lineRule="auto"/>
        <w:ind w:firstLine="480" w:firstLineChars="200"/>
        <w:rPr>
          <w:rFonts w:ascii="仿宋_GB2312" w:eastAsia="仿宋_GB2312"/>
          <w:sz w:val="24"/>
          <w:szCs w:val="24"/>
        </w:rPr>
      </w:pPr>
      <w:bookmarkStart w:id="75" w:name="_Hlt26954852"/>
      <w:bookmarkEnd w:id="75"/>
      <w:bookmarkStart w:id="76" w:name="_Hlt26954739"/>
      <w:bookmarkEnd w:id="76"/>
      <w:bookmarkStart w:id="77" w:name="_Toc14577361"/>
      <w:bookmarkStart w:id="78" w:name="_Toc49090512"/>
      <w:r>
        <w:rPr>
          <w:rFonts w:hint="eastAsia" w:ascii="仿宋_GB2312" w:eastAsia="仿宋_GB2312"/>
          <w:sz w:val="24"/>
          <w:szCs w:val="24"/>
        </w:rPr>
        <w:t>9.响应文件份数和签署</w:t>
      </w:r>
      <w:bookmarkEnd w:id="77"/>
      <w:bookmarkEnd w:id="78"/>
    </w:p>
    <w:p>
      <w:pPr>
        <w:pStyle w:val="31"/>
        <w:snapToGrid w:val="0"/>
        <w:rPr>
          <w:rFonts w:ascii="仿宋_GB2312" w:hAnsi="宋体" w:eastAsia="仿宋_GB2312"/>
          <w:sz w:val="24"/>
          <w:szCs w:val="24"/>
        </w:rPr>
      </w:pPr>
      <w:r>
        <w:rPr>
          <w:rFonts w:hint="eastAsia" w:ascii="仿宋_GB2312" w:hAnsi="宋体" w:eastAsia="仿宋_GB2312"/>
          <w:sz w:val="24"/>
          <w:szCs w:val="24"/>
        </w:rPr>
        <w:t>（1）供应商应严格按照磋商公告要求的份数准备响应文件，每份响应文件须清楚地标明“正本”或“副本”字样。一旦正本和副本不符，以正本为准。</w:t>
      </w:r>
    </w:p>
    <w:p>
      <w:pPr>
        <w:pStyle w:val="31"/>
        <w:snapToGrid w:val="0"/>
        <w:rPr>
          <w:rFonts w:ascii="仿宋_GB2312" w:hAnsi="宋体" w:eastAsia="仿宋_GB2312"/>
          <w:sz w:val="24"/>
          <w:szCs w:val="24"/>
        </w:rPr>
      </w:pPr>
      <w:r>
        <w:rPr>
          <w:rFonts w:hint="eastAsia" w:ascii="仿宋_GB2312" w:hAnsi="宋体" w:eastAsia="仿宋_GB2312"/>
          <w:sz w:val="24"/>
          <w:szCs w:val="24"/>
        </w:rPr>
        <w:t>（2）响应文件的正本和所有的副本均需打印或复印，正本由供应商法定代表人或其授权代表签字。授权代表须将“法人授权书”（原件）附在正本响应文件中。</w:t>
      </w:r>
    </w:p>
    <w:p>
      <w:pPr>
        <w:pStyle w:val="31"/>
        <w:snapToGrid w:val="0"/>
        <w:rPr>
          <w:rFonts w:ascii="仿宋_GB2312" w:hAnsi="宋体" w:eastAsia="仿宋_GB2312"/>
          <w:sz w:val="24"/>
          <w:szCs w:val="24"/>
        </w:rPr>
      </w:pPr>
      <w:r>
        <w:rPr>
          <w:rFonts w:hint="eastAsia" w:ascii="仿宋_GB2312" w:hAnsi="宋体" w:eastAsia="仿宋_GB2312"/>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ascii="仿宋_GB2312" w:hAnsi="宋体" w:eastAsia="仿宋_GB2312"/>
          <w:sz w:val="24"/>
          <w:szCs w:val="24"/>
        </w:rPr>
      </w:pPr>
      <w:bookmarkStart w:id="79" w:name="_Toc403987208"/>
      <w:bookmarkStart w:id="80" w:name="_Toc120614217"/>
      <w:bookmarkStart w:id="81" w:name="_Toc513029224"/>
      <w:bookmarkStart w:id="82" w:name="_Toc20823296"/>
      <w:bookmarkStart w:id="83" w:name="_Toc16938540"/>
      <w:r>
        <w:rPr>
          <w:rFonts w:hint="eastAsia" w:ascii="仿宋_GB2312" w:hAnsi="宋体" w:eastAsia="仿宋_GB2312"/>
          <w:sz w:val="24"/>
          <w:szCs w:val="24"/>
        </w:rPr>
        <w:t>（四）响应文件的递交</w:t>
      </w:r>
      <w:bookmarkEnd w:id="79"/>
      <w:bookmarkEnd w:id="80"/>
      <w:bookmarkEnd w:id="81"/>
      <w:bookmarkEnd w:id="82"/>
      <w:bookmarkEnd w:id="83"/>
    </w:p>
    <w:p>
      <w:pPr>
        <w:adjustRightInd w:val="0"/>
        <w:snapToGrid w:val="0"/>
        <w:spacing w:line="360" w:lineRule="auto"/>
        <w:ind w:firstLine="480" w:firstLineChars="200"/>
        <w:rPr>
          <w:rFonts w:ascii="仿宋_GB2312" w:eastAsia="仿宋_GB2312"/>
          <w:sz w:val="24"/>
          <w:szCs w:val="24"/>
        </w:rPr>
      </w:pPr>
      <w:bookmarkStart w:id="84" w:name="_Toc20823297"/>
      <w:bookmarkStart w:id="85" w:name="_Toc16938541"/>
      <w:bookmarkStart w:id="86" w:name="_Toc513029225"/>
      <w:bookmarkStart w:id="87" w:name="_Toc462564084"/>
      <w:r>
        <w:rPr>
          <w:rFonts w:hint="eastAsia" w:ascii="仿宋_GB2312" w:eastAsia="仿宋_GB2312"/>
          <w:sz w:val="24"/>
          <w:szCs w:val="24"/>
        </w:rPr>
        <w:t>1.响应文件的密封和标记</w:t>
      </w:r>
      <w:bookmarkEnd w:id="84"/>
      <w:bookmarkEnd w:id="85"/>
      <w:bookmarkEnd w:id="86"/>
      <w:bookmarkEnd w:id="87"/>
    </w:p>
    <w:p>
      <w:pPr>
        <w:pStyle w:val="31"/>
        <w:snapToGrid w:val="0"/>
        <w:rPr>
          <w:rFonts w:ascii="仿宋_GB2312" w:hAnsi="宋体" w:eastAsia="仿宋_GB2312"/>
          <w:sz w:val="24"/>
          <w:szCs w:val="24"/>
        </w:rPr>
      </w:pPr>
      <w:r>
        <w:rPr>
          <w:rFonts w:hint="eastAsia" w:ascii="仿宋_GB2312" w:hAnsi="宋体" w:eastAsia="仿宋_GB2312"/>
          <w:sz w:val="24"/>
          <w:szCs w:val="24"/>
        </w:rPr>
        <w:t>（1）供应商应将响应文件正本和所有副本密封，并加盖供应商公章。不论供应商成交与否，响应文件均不退回。</w:t>
      </w:r>
    </w:p>
    <w:p>
      <w:pPr>
        <w:pStyle w:val="31"/>
        <w:snapToGrid w:val="0"/>
        <w:rPr>
          <w:rFonts w:ascii="仿宋_GB2312" w:hAnsi="宋体" w:eastAsia="仿宋_GB2312"/>
          <w:sz w:val="24"/>
          <w:szCs w:val="24"/>
        </w:rPr>
      </w:pPr>
      <w:r>
        <w:rPr>
          <w:rFonts w:hint="eastAsia" w:ascii="仿宋_GB2312" w:hAnsi="宋体" w:eastAsia="仿宋_GB2312"/>
          <w:sz w:val="24"/>
          <w:szCs w:val="24"/>
        </w:rPr>
        <w:t>（2）密封的响应文件应：</w:t>
      </w:r>
    </w:p>
    <w:p>
      <w:pPr>
        <w:pStyle w:val="31"/>
        <w:snapToGrid w:val="0"/>
        <w:rPr>
          <w:rFonts w:ascii="仿宋_GB2312" w:hAnsi="宋体" w:eastAsia="仿宋_GB2312"/>
          <w:sz w:val="24"/>
          <w:szCs w:val="24"/>
        </w:rPr>
      </w:pPr>
      <w:r>
        <w:rPr>
          <w:rFonts w:hint="eastAsia" w:ascii="仿宋_GB2312" w:hAnsi="宋体" w:eastAsia="仿宋_GB2312"/>
          <w:sz w:val="24"/>
          <w:szCs w:val="24"/>
        </w:rPr>
        <w:t>1）注明供应商名称，如因标注不清而产生的后果由供应商自负。按磋商公告中注明的地址送达；</w:t>
      </w:r>
    </w:p>
    <w:p>
      <w:pPr>
        <w:pStyle w:val="31"/>
        <w:snapToGrid w:val="0"/>
        <w:rPr>
          <w:rFonts w:ascii="仿宋_GB2312" w:hAnsi="宋体" w:eastAsia="仿宋_GB2312"/>
          <w:sz w:val="24"/>
          <w:szCs w:val="24"/>
        </w:rPr>
      </w:pPr>
      <w:r>
        <w:rPr>
          <w:rFonts w:hint="eastAsia" w:ascii="仿宋_GB2312" w:hAnsi="宋体" w:eastAsia="仿宋_GB2312"/>
          <w:sz w:val="24"/>
          <w:szCs w:val="24"/>
        </w:rPr>
        <w:t>2）注明磋商项目名称、项目编号。</w:t>
      </w:r>
    </w:p>
    <w:p>
      <w:pPr>
        <w:pStyle w:val="31"/>
        <w:snapToGrid w:val="0"/>
        <w:rPr>
          <w:rFonts w:ascii="仿宋_GB2312" w:hAnsi="宋体" w:eastAsia="仿宋_GB2312"/>
          <w:sz w:val="24"/>
          <w:szCs w:val="24"/>
        </w:rPr>
      </w:pPr>
      <w:r>
        <w:rPr>
          <w:rFonts w:hint="eastAsia" w:ascii="仿宋_GB2312" w:hAnsi="宋体" w:eastAsia="仿宋_GB2312"/>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ascii="仿宋_GB2312" w:eastAsia="仿宋_GB2312"/>
          <w:sz w:val="24"/>
          <w:szCs w:val="24"/>
        </w:rPr>
      </w:pPr>
      <w:bookmarkStart w:id="88" w:name="_Toc16938542"/>
      <w:bookmarkStart w:id="89" w:name="_Toc20823298"/>
      <w:bookmarkStart w:id="90" w:name="_Toc513029226"/>
      <w:r>
        <w:rPr>
          <w:rFonts w:hint="eastAsia" w:ascii="仿宋_GB2312" w:eastAsia="仿宋_GB2312"/>
          <w:sz w:val="24"/>
          <w:szCs w:val="24"/>
        </w:rPr>
        <w:t>2.响应文件提交截止</w:t>
      </w:r>
      <w:bookmarkEnd w:id="88"/>
      <w:bookmarkEnd w:id="89"/>
      <w:bookmarkEnd w:id="90"/>
      <w:r>
        <w:rPr>
          <w:rFonts w:hint="eastAsia" w:ascii="仿宋_GB2312" w:eastAsia="仿宋_GB2312"/>
          <w:sz w:val="24"/>
          <w:szCs w:val="24"/>
        </w:rPr>
        <w:t>时间</w:t>
      </w:r>
    </w:p>
    <w:p>
      <w:pPr>
        <w:pStyle w:val="31"/>
        <w:snapToGrid w:val="0"/>
        <w:rPr>
          <w:rFonts w:ascii="仿宋_GB2312" w:hAnsi="宋体" w:eastAsia="仿宋_GB2312"/>
          <w:sz w:val="24"/>
          <w:szCs w:val="24"/>
        </w:rPr>
      </w:pPr>
      <w:r>
        <w:rPr>
          <w:rFonts w:hint="eastAsia" w:ascii="仿宋_GB2312" w:hAnsi="宋体" w:eastAsia="仿宋_GB2312"/>
          <w:sz w:val="24"/>
          <w:szCs w:val="24"/>
        </w:rPr>
        <w:t>（1）采购人收到响应文件的时间不得迟于磋商公告中规定的截止时间。</w:t>
      </w:r>
    </w:p>
    <w:p>
      <w:pPr>
        <w:pStyle w:val="31"/>
        <w:snapToGrid w:val="0"/>
        <w:rPr>
          <w:rFonts w:ascii="仿宋_GB2312" w:hAnsi="宋体" w:eastAsia="仿宋_GB2312"/>
          <w:sz w:val="24"/>
          <w:szCs w:val="24"/>
        </w:rPr>
      </w:pPr>
      <w:r>
        <w:rPr>
          <w:rFonts w:hint="eastAsia" w:ascii="仿宋_GB2312" w:hAnsi="宋体" w:eastAsia="仿宋_GB2312"/>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（五）磋商与评审</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1.磋商仪式</w:t>
      </w:r>
    </w:p>
    <w:p>
      <w:pPr>
        <w:pStyle w:val="31"/>
        <w:snapToGrid w:val="0"/>
        <w:rPr>
          <w:rFonts w:ascii="仿宋_GB2312" w:hAnsi="宋体" w:eastAsia="仿宋_GB2312"/>
          <w:sz w:val="24"/>
          <w:szCs w:val="24"/>
        </w:rPr>
      </w:pPr>
      <w:r>
        <w:rPr>
          <w:rFonts w:hint="eastAsia" w:ascii="仿宋_GB2312" w:hAnsi="宋体" w:eastAsia="仿宋_GB2312"/>
          <w:bCs/>
          <w:sz w:val="24"/>
          <w:szCs w:val="24"/>
        </w:rPr>
        <w:t>（1）采购人将在磋商公告中规定的时间和地点组织磋商</w:t>
      </w:r>
      <w:r>
        <w:rPr>
          <w:rFonts w:hint="eastAsia" w:ascii="仿宋_GB2312" w:hAnsi="宋体" w:eastAsia="仿宋_GB2312"/>
          <w:sz w:val="24"/>
          <w:szCs w:val="24"/>
        </w:rPr>
        <w:t>。供应商应委派携带有效证件的代表准时参加，参加磋商的代表需签名以证明其出席。</w:t>
      </w:r>
    </w:p>
    <w:p>
      <w:pPr>
        <w:pStyle w:val="31"/>
        <w:snapToGrid w:val="0"/>
        <w:rPr>
          <w:rFonts w:ascii="仿宋_GB2312" w:hAnsi="宋体" w:eastAsia="仿宋_GB2312"/>
          <w:sz w:val="24"/>
          <w:szCs w:val="24"/>
        </w:rPr>
      </w:pPr>
      <w:r>
        <w:rPr>
          <w:rFonts w:hint="eastAsia" w:ascii="仿宋_GB2312" w:hAnsi="宋体" w:eastAsia="仿宋_GB2312"/>
          <w:sz w:val="24"/>
          <w:szCs w:val="24"/>
        </w:rPr>
        <w:t>（2）磋商仪式由采购人代表主持，磋商领导小组成员、采购人代表、监督代表、供应商代表以及有关工作人员参加。</w:t>
      </w:r>
    </w:p>
    <w:p>
      <w:pPr>
        <w:pStyle w:val="31"/>
        <w:snapToGrid w:val="0"/>
        <w:rPr>
          <w:rFonts w:ascii="仿宋_GB2312" w:hAnsi="宋体" w:eastAsia="仿宋_GB2312"/>
          <w:sz w:val="24"/>
          <w:szCs w:val="24"/>
        </w:rPr>
      </w:pPr>
      <w:r>
        <w:rPr>
          <w:rFonts w:hint="eastAsia" w:ascii="仿宋_GB2312" w:hAnsi="宋体" w:eastAsia="仿宋_GB2312"/>
          <w:sz w:val="24"/>
          <w:szCs w:val="24"/>
        </w:rPr>
        <w:t>（3）磋商时请纪检监督人员查验响应文件密封情况，至响应文件开启时间后由磋商小组开启响应文件。</w:t>
      </w:r>
    </w:p>
    <w:p>
      <w:pPr>
        <w:adjustRightInd w:val="0"/>
        <w:snapToGrid w:val="0"/>
        <w:spacing w:line="360" w:lineRule="auto"/>
        <w:ind w:firstLine="480" w:firstLineChars="200"/>
        <w:rPr>
          <w:rFonts w:ascii="仿宋_GB2312" w:eastAsia="仿宋_GB2312"/>
          <w:sz w:val="24"/>
          <w:szCs w:val="24"/>
        </w:rPr>
      </w:pPr>
      <w:bookmarkStart w:id="91" w:name="_Toc20823303"/>
      <w:bookmarkStart w:id="92" w:name="_Toc16938547"/>
      <w:bookmarkStart w:id="93" w:name="_Toc513029231"/>
      <w:r>
        <w:rPr>
          <w:rFonts w:hint="eastAsia" w:ascii="仿宋_GB2312" w:eastAsia="仿宋_GB2312"/>
          <w:sz w:val="24"/>
          <w:szCs w:val="24"/>
        </w:rPr>
        <w:t>2.磋商小组</w:t>
      </w:r>
    </w:p>
    <w:p>
      <w:pPr>
        <w:pStyle w:val="31"/>
        <w:snapToGrid w:val="0"/>
        <w:rPr>
          <w:rFonts w:ascii="仿宋_GB2312" w:hAnsi="宋体" w:eastAsia="仿宋_GB2312"/>
          <w:sz w:val="24"/>
          <w:szCs w:val="24"/>
        </w:rPr>
      </w:pPr>
      <w:r>
        <w:rPr>
          <w:rFonts w:hint="eastAsia" w:ascii="仿宋_GB2312" w:hAnsi="宋体" w:eastAsia="仿宋_GB2312"/>
          <w:sz w:val="24"/>
          <w:szCs w:val="24"/>
        </w:rPr>
        <w:t>（1）磋商仪式结束后，采购人将立即组织磋商小组进行磋商。</w:t>
      </w:r>
    </w:p>
    <w:p>
      <w:pPr>
        <w:pStyle w:val="31"/>
        <w:snapToGrid w:val="0"/>
        <w:rPr>
          <w:rFonts w:ascii="仿宋_GB2312" w:hAnsi="宋体" w:eastAsia="仿宋_GB2312"/>
          <w:sz w:val="24"/>
          <w:szCs w:val="24"/>
        </w:rPr>
      </w:pPr>
      <w:r>
        <w:rPr>
          <w:rFonts w:hint="eastAsia" w:ascii="仿宋_GB2312" w:hAnsi="宋体" w:eastAsia="仿宋_GB2312"/>
          <w:sz w:val="24"/>
          <w:szCs w:val="24"/>
        </w:rPr>
        <w:t>（2）磋商小组将按规定由3人或以上单数组成。</w:t>
      </w:r>
    </w:p>
    <w:bookmarkEnd w:id="91"/>
    <w:bookmarkEnd w:id="92"/>
    <w:bookmarkEnd w:id="93"/>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（3）磋商小组工作原则</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3.响应文件审查</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ascii="仿宋_GB2312" w:eastAsia="仿宋_GB2312"/>
          <w:sz w:val="24"/>
          <w:szCs w:val="24"/>
        </w:rPr>
      </w:pPr>
      <w:bookmarkStart w:id="94" w:name="_Toc20823304"/>
      <w:bookmarkStart w:id="95" w:name="_Toc16938548"/>
      <w:bookmarkStart w:id="96" w:name="_Toc513029232"/>
      <w:r>
        <w:rPr>
          <w:rFonts w:hint="eastAsia" w:ascii="仿宋_GB2312" w:eastAsia="仿宋_GB2312"/>
          <w:sz w:val="24"/>
          <w:szCs w:val="24"/>
        </w:rPr>
        <w:t>4.供应商澄清</w:t>
      </w:r>
      <w:bookmarkEnd w:id="94"/>
      <w:bookmarkEnd w:id="95"/>
      <w:bookmarkEnd w:id="96"/>
    </w:p>
    <w:p>
      <w:pPr>
        <w:adjustRightInd w:val="0"/>
        <w:snapToGrid w:val="0"/>
        <w:spacing w:line="360" w:lineRule="auto"/>
        <w:ind w:firstLine="480" w:firstLineChars="200"/>
        <w:rPr>
          <w:rFonts w:ascii="仿宋_GB2312" w:eastAsia="仿宋_GB2312"/>
          <w:sz w:val="24"/>
          <w:szCs w:val="24"/>
        </w:rPr>
      </w:pPr>
      <w:bookmarkStart w:id="97" w:name="_Toc513029233"/>
      <w:bookmarkStart w:id="98" w:name="_Toc20823305"/>
      <w:bookmarkStart w:id="99" w:name="_Toc16938549"/>
      <w:r>
        <w:rPr>
          <w:rFonts w:hint="eastAsia" w:ascii="仿宋_GB2312" w:eastAsia="仿宋_GB2312"/>
          <w:sz w:val="24"/>
          <w:szCs w:val="24"/>
        </w:rPr>
        <w:t>磋商小组要求供应商澄清、说明或者更正响应文件将以书面形式作出。</w:t>
      </w:r>
    </w:p>
    <w:bookmarkEnd w:id="97"/>
    <w:bookmarkEnd w:id="98"/>
    <w:bookmarkEnd w:id="99"/>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5.磋商程序、最后报价、综合评分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（4）已提交响应文件的供应商，在提交最后报价之前，可以根据磋商情况退出磋商。采购人将退还退出磋商的供应商的磋商保证金。</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6.响应无效和终止磋商活动条款</w:t>
      </w:r>
    </w:p>
    <w:p>
      <w:pPr>
        <w:pStyle w:val="31"/>
        <w:snapToGrid w:val="0"/>
        <w:rPr>
          <w:rFonts w:ascii="仿宋_GB2312" w:hAnsi="宋体" w:eastAsia="仿宋_GB2312"/>
          <w:sz w:val="24"/>
          <w:szCs w:val="24"/>
        </w:rPr>
      </w:pPr>
      <w:bookmarkStart w:id="100" w:name="_Toc20823307"/>
      <w:bookmarkStart w:id="101" w:name="_Toc16938551"/>
      <w:bookmarkStart w:id="102" w:name="_Toc513029235"/>
      <w:r>
        <w:rPr>
          <w:rFonts w:hint="eastAsia" w:ascii="仿宋_GB2312" w:hAnsi="宋体" w:eastAsia="仿宋_GB2312"/>
          <w:sz w:val="24"/>
          <w:szCs w:val="24"/>
        </w:rPr>
        <w:t>（1）响应无效条款</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1）未按要求交纳磋商保证金的；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2）未按照磋商文件规定要求密封、签署、盖章的；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3）供应商不具备磋商文件中规定资格条件的；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4）不符合法律、法规和磋商文件中规定的其他实质性要求的（本磋商文件中斜体且有下划线部分为实质性要求和条件）；</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5）其他法律、法规及本磋商文件规定的属响应无效的情形。</w:t>
      </w:r>
    </w:p>
    <w:p>
      <w:pPr>
        <w:pStyle w:val="31"/>
        <w:snapToGrid w:val="0"/>
        <w:rPr>
          <w:rFonts w:ascii="仿宋_GB2312" w:hAnsi="宋体" w:eastAsia="仿宋_GB2312"/>
          <w:sz w:val="24"/>
          <w:szCs w:val="24"/>
        </w:rPr>
      </w:pPr>
      <w:r>
        <w:rPr>
          <w:rFonts w:hint="eastAsia" w:ascii="仿宋_GB2312" w:hAnsi="宋体" w:eastAsia="仿宋_GB2312"/>
          <w:sz w:val="24"/>
          <w:szCs w:val="24"/>
        </w:rPr>
        <w:t>7.终止磋商采购活动的条款</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出现下列情形之一的，采购人将终止磋商采购活动，发布项目终止公告并说明原因，重新开展采购活动：</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（1）因情况变化，不再符合规定的磋商采购方式适用情形的；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（2）出现影响采购公正的违法、违规行为的；</w:t>
      </w:r>
    </w:p>
    <w:bookmarkEnd w:id="100"/>
    <w:bookmarkEnd w:id="101"/>
    <w:bookmarkEnd w:id="102"/>
    <w:p>
      <w:pPr>
        <w:adjustRightInd w:val="0"/>
        <w:snapToGrid w:val="0"/>
        <w:spacing w:line="360" w:lineRule="auto"/>
        <w:ind w:firstLine="480" w:firstLineChars="200"/>
        <w:rPr>
          <w:rFonts w:ascii="仿宋_GB2312" w:eastAsia="仿宋_GB2312"/>
          <w:sz w:val="24"/>
          <w:szCs w:val="24"/>
        </w:rPr>
      </w:pPr>
      <w:bookmarkStart w:id="103" w:name="_Toc20823310"/>
      <w:bookmarkStart w:id="104" w:name="_Toc16938554"/>
      <w:r>
        <w:rPr>
          <w:rFonts w:hint="eastAsia" w:ascii="仿宋_GB2312" w:eastAsia="仿宋_GB2312"/>
          <w:sz w:val="24"/>
          <w:szCs w:val="24"/>
        </w:rPr>
        <w:t>8.确定</w:t>
      </w:r>
      <w:bookmarkEnd w:id="103"/>
      <w:bookmarkEnd w:id="104"/>
      <w:r>
        <w:rPr>
          <w:rFonts w:hint="eastAsia" w:ascii="仿宋_GB2312" w:eastAsia="仿宋_GB2312"/>
          <w:sz w:val="24"/>
          <w:szCs w:val="24"/>
        </w:rPr>
        <w:t>成交供应商</w:t>
      </w:r>
    </w:p>
    <w:p>
      <w:pPr>
        <w:pStyle w:val="31"/>
        <w:snapToGrid w:val="0"/>
        <w:rPr>
          <w:rFonts w:ascii="仿宋_GB2312" w:hAnsi="宋体" w:eastAsia="仿宋_GB2312" w:cs="Times New Roman"/>
          <w:sz w:val="24"/>
          <w:szCs w:val="24"/>
        </w:rPr>
      </w:pPr>
      <w:r>
        <w:rPr>
          <w:rFonts w:hint="eastAsia" w:ascii="仿宋_GB2312" w:hAnsi="宋体" w:eastAsia="仿宋_GB2312" w:cs="Times New Roman"/>
          <w:sz w:val="24"/>
          <w:szCs w:val="24"/>
        </w:rPr>
        <w:t>（1）采购人在评审结束后5个工作日内，从评审报告提出的中标候选单位中，按照排序由高到低的原则确定中标候选单位。</w:t>
      </w:r>
    </w:p>
    <w:p>
      <w:pPr>
        <w:pStyle w:val="31"/>
        <w:snapToGrid w:val="0"/>
        <w:rPr>
          <w:rFonts w:ascii="仿宋_GB2312" w:hAnsi="宋体" w:eastAsia="仿宋_GB2312"/>
          <w:sz w:val="24"/>
          <w:szCs w:val="24"/>
        </w:rPr>
      </w:pPr>
      <w:r>
        <w:rPr>
          <w:rFonts w:hint="eastAsia" w:ascii="仿宋_GB2312" w:hAnsi="宋体" w:eastAsia="仿宋_GB2312"/>
          <w:sz w:val="24"/>
          <w:szCs w:val="24"/>
        </w:rPr>
        <w:t>（2）采购人在中标单位确定后2个工作日内在“皖南医学院校园网”公告中标结果。</w:t>
      </w:r>
    </w:p>
    <w:p>
      <w:pPr>
        <w:adjustRightInd w:val="0"/>
        <w:snapToGrid w:val="0"/>
        <w:spacing w:line="360" w:lineRule="auto"/>
        <w:ind w:firstLine="480" w:firstLineChars="200"/>
        <w:rPr>
          <w:rFonts w:ascii="仿宋_GB2312" w:hAnsi="宋体" w:eastAsia="仿宋_GB2312"/>
          <w:sz w:val="24"/>
          <w:szCs w:val="24"/>
        </w:rPr>
      </w:pPr>
      <w:bookmarkStart w:id="105" w:name="_Toc120614220"/>
      <w:bookmarkStart w:id="106" w:name="_Toc403987211"/>
      <w:bookmarkStart w:id="107" w:name="_Toc16938552"/>
      <w:bookmarkStart w:id="108" w:name="_Toc513029236"/>
      <w:bookmarkStart w:id="109" w:name="_Toc20823308"/>
      <w:r>
        <w:rPr>
          <w:rFonts w:hint="eastAsia" w:ascii="仿宋_GB2312" w:hAnsi="宋体" w:eastAsia="仿宋_GB2312"/>
          <w:sz w:val="24"/>
          <w:szCs w:val="24"/>
        </w:rPr>
        <w:t>（六）授予合同</w:t>
      </w:r>
      <w:bookmarkEnd w:id="105"/>
      <w:bookmarkEnd w:id="106"/>
    </w:p>
    <w:bookmarkEnd w:id="107"/>
    <w:bookmarkEnd w:id="108"/>
    <w:bookmarkEnd w:id="109"/>
    <w:p>
      <w:pPr>
        <w:adjustRightInd w:val="0"/>
        <w:snapToGrid w:val="0"/>
        <w:spacing w:line="360" w:lineRule="auto"/>
        <w:ind w:firstLine="480" w:firstLineChars="200"/>
        <w:rPr>
          <w:rFonts w:ascii="仿宋_GB2312" w:eastAsia="仿宋_GB2312"/>
          <w:sz w:val="24"/>
          <w:szCs w:val="24"/>
        </w:rPr>
      </w:pPr>
      <w:bookmarkStart w:id="110" w:name="_Toc20823309"/>
      <w:bookmarkStart w:id="111" w:name="_Toc513029237"/>
      <w:bookmarkStart w:id="112" w:name="_Toc16938553"/>
      <w:r>
        <w:rPr>
          <w:rFonts w:hint="eastAsia" w:ascii="仿宋_GB2312" w:eastAsia="仿宋_GB2312"/>
          <w:sz w:val="24"/>
          <w:szCs w:val="24"/>
        </w:rPr>
        <w:t>1.签订合同</w:t>
      </w:r>
    </w:p>
    <w:p>
      <w:pPr>
        <w:pStyle w:val="31"/>
        <w:snapToGrid w:val="0"/>
        <w:rPr>
          <w:rFonts w:ascii="仿宋_GB2312" w:hAnsi="宋体" w:eastAsia="仿宋_GB2312"/>
          <w:sz w:val="24"/>
          <w:szCs w:val="24"/>
        </w:rPr>
      </w:pPr>
      <w:r>
        <w:rPr>
          <w:rFonts w:hint="eastAsia" w:ascii="仿宋_GB2312" w:hAnsi="宋体" w:eastAsia="仿宋_GB2312"/>
          <w:sz w:val="24"/>
          <w:szCs w:val="24"/>
        </w:rPr>
        <w:t>（1）采购人与中标单位应当在中标通知书发出之日起5日内，按照磋商文件确定的合同文本以及采购标的、采购金额、技术和服务要求等事项签订采购合同。</w:t>
      </w:r>
    </w:p>
    <w:p>
      <w:pPr>
        <w:pStyle w:val="31"/>
        <w:snapToGrid w:val="0"/>
        <w:rPr>
          <w:rFonts w:ascii="仿宋_GB2312" w:hAnsi="宋体" w:eastAsia="仿宋_GB2312"/>
          <w:sz w:val="24"/>
          <w:szCs w:val="24"/>
        </w:rPr>
      </w:pPr>
      <w:r>
        <w:rPr>
          <w:rFonts w:hint="eastAsia" w:ascii="仿宋_GB2312" w:hAnsi="宋体" w:eastAsia="仿宋_GB2312"/>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1"/>
        <w:snapToGrid w:val="0"/>
        <w:rPr>
          <w:rFonts w:ascii="仿宋_GB2312" w:hAnsi="宋体" w:eastAsia="仿宋_GB2312"/>
          <w:sz w:val="24"/>
          <w:szCs w:val="24"/>
        </w:rPr>
      </w:pPr>
      <w:r>
        <w:rPr>
          <w:rFonts w:hint="eastAsia" w:ascii="仿宋_GB2312" w:hAnsi="宋体" w:eastAsia="仿宋_GB2312"/>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2.履约保证金</w:t>
      </w:r>
    </w:p>
    <w:p>
      <w:pPr>
        <w:pStyle w:val="31"/>
        <w:snapToGrid w:val="0"/>
        <w:rPr>
          <w:rFonts w:ascii="仿宋_GB2312" w:hAnsi="宋体" w:eastAsia="仿宋_GB2312"/>
          <w:sz w:val="24"/>
          <w:szCs w:val="24"/>
        </w:rPr>
      </w:pPr>
      <w:r>
        <w:rPr>
          <w:rFonts w:hint="eastAsia" w:ascii="仿宋_GB2312" w:hAnsi="宋体" w:eastAsia="仿宋_GB2312"/>
          <w:sz w:val="24"/>
          <w:szCs w:val="24"/>
        </w:rPr>
        <w:t>（1）中标单位在收到成交通知书后，磋商保证金将自动转为履约保证金</w:t>
      </w:r>
      <w:bookmarkStart w:id="113" w:name="_Toc200451963"/>
      <w:r>
        <w:rPr>
          <w:rFonts w:hint="eastAsia" w:ascii="仿宋_GB2312" w:hAnsi="宋体" w:eastAsia="仿宋_GB2312"/>
          <w:sz w:val="24"/>
          <w:szCs w:val="24"/>
        </w:rPr>
        <w:t>，不足部分在双方签订合同前交齐。</w:t>
      </w:r>
    </w:p>
    <w:bookmarkEnd w:id="113"/>
    <w:p>
      <w:pPr>
        <w:pStyle w:val="31"/>
        <w:snapToGrid w:val="0"/>
        <w:rPr>
          <w:rFonts w:ascii="仿宋_GB2312" w:hAnsi="宋体" w:eastAsia="仿宋_GB2312"/>
          <w:bCs/>
          <w:sz w:val="24"/>
          <w:szCs w:val="24"/>
        </w:rPr>
      </w:pPr>
      <w:r>
        <w:rPr>
          <w:rFonts w:hint="eastAsia" w:ascii="仿宋_GB2312" w:hAnsi="宋体" w:eastAsia="仿宋_GB2312"/>
          <w:bCs/>
          <w:sz w:val="24"/>
          <w:szCs w:val="24"/>
        </w:rPr>
        <w:t>（2）履约保证金的退还：合同有效期截止后，</w:t>
      </w:r>
      <w:r>
        <w:rPr>
          <w:rFonts w:hint="eastAsia" w:ascii="仿宋_GB2312" w:hAnsi="宋体" w:eastAsia="仿宋_GB2312"/>
          <w:sz w:val="24"/>
          <w:szCs w:val="24"/>
        </w:rPr>
        <w:t>中标单位自行下载、完成《皖南医学院项目履约保证金退付申请表》</w:t>
      </w:r>
      <w:r>
        <w:rPr>
          <w:rFonts w:hint="eastAsia" w:ascii="仿宋_GB2312" w:hAnsi="宋体" w:eastAsia="仿宋_GB2312"/>
          <w:bCs/>
          <w:sz w:val="24"/>
          <w:szCs w:val="24"/>
        </w:rPr>
        <w:t>办理保证金退还手续。</w:t>
      </w:r>
      <w:bookmarkEnd w:id="110"/>
      <w:bookmarkEnd w:id="111"/>
      <w:bookmarkEnd w:id="112"/>
    </w:p>
    <w:p>
      <w:pPr>
        <w:widowControl/>
        <w:shd w:val="clear" w:color="auto" w:fill="FFFFFF"/>
        <w:adjustRightInd w:val="0"/>
        <w:snapToGrid w:val="0"/>
        <w:spacing w:line="360" w:lineRule="auto"/>
        <w:ind w:firstLine="610" w:firstLineChars="253"/>
        <w:jc w:val="left"/>
        <w:rPr>
          <w:rFonts w:ascii="仿宋_GB2312" w:hAnsi="宋体" w:eastAsia="仿宋_GB2312" w:cs="宋体"/>
          <w:kern w:val="0"/>
          <w:sz w:val="24"/>
          <w:szCs w:val="24"/>
        </w:rPr>
      </w:pPr>
      <w:r>
        <w:rPr>
          <w:rFonts w:hint="eastAsia" w:ascii="仿宋_GB2312" w:hAnsi="宋体" w:eastAsia="仿宋_GB2312"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0553-3932052</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、联系部门：皖南医学院巡察工作办公室；</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0553-3932826</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号皖南医学院巡察工作办公室。</w:t>
      </w: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
        <w:jc w:val="center"/>
        <w:rPr>
          <w:rFonts w:hint="eastAsia" w:ascii="华文中宋" w:hAnsi="华文中宋" w:eastAsia="华文中宋"/>
          <w:color w:val="auto"/>
        </w:rPr>
      </w:pPr>
    </w:p>
    <w:p>
      <w:pPr>
        <w:pStyle w:val="3"/>
        <w:jc w:val="center"/>
        <w:rPr>
          <w:rFonts w:hint="eastAsia" w:ascii="华文中宋" w:hAnsi="华文中宋" w:eastAsia="华文中宋"/>
          <w:color w:val="auto"/>
          <w:lang w:eastAsia="zh-CN"/>
        </w:rPr>
      </w:pPr>
      <w:r>
        <w:rPr>
          <w:rFonts w:hint="eastAsia" w:ascii="华文中宋" w:hAnsi="华文中宋" w:eastAsia="华文中宋"/>
          <w:color w:val="auto"/>
        </w:rPr>
        <w:t>第</w:t>
      </w:r>
      <w:r>
        <w:rPr>
          <w:rFonts w:hint="eastAsia" w:ascii="华文中宋" w:hAnsi="华文中宋" w:eastAsia="华文中宋"/>
          <w:color w:val="auto"/>
          <w:lang w:eastAsia="zh-CN"/>
        </w:rPr>
        <w:t>四</w:t>
      </w:r>
      <w:r>
        <w:rPr>
          <w:rFonts w:hint="eastAsia" w:ascii="华文中宋" w:hAnsi="华文中宋" w:eastAsia="华文中宋"/>
          <w:color w:val="auto"/>
        </w:rPr>
        <w:t xml:space="preserve">章  </w:t>
      </w:r>
      <w:r>
        <w:rPr>
          <w:rFonts w:hint="eastAsia"/>
        </w:rPr>
        <w:t>社会化汽车租赁服务项目采购合同</w:t>
      </w:r>
    </w:p>
    <w:p>
      <w:pPr>
        <w:spacing w:line="460" w:lineRule="exact"/>
        <w:rPr>
          <w:rFonts w:hint="eastAsia" w:ascii="仿宋_GB2312" w:hAnsi="黑体" w:eastAsia="仿宋_GB2312"/>
          <w:sz w:val="24"/>
          <w:szCs w:val="24"/>
          <w:lang w:eastAsia="zh-CN"/>
        </w:rPr>
      </w:pPr>
    </w:p>
    <w:p>
      <w:pPr>
        <w:pStyle w:val="51"/>
        <w:spacing w:line="380" w:lineRule="exact"/>
        <w:jc w:val="right"/>
        <w:rPr>
          <w:rFonts w:ascii="仿宋_GB2312" w:eastAsia="仿宋_GB2312"/>
          <w:sz w:val="28"/>
          <w:szCs w:val="28"/>
        </w:rPr>
      </w:pPr>
      <w:bookmarkStart w:id="114" w:name="_Toc52892866"/>
      <w:r>
        <w:rPr>
          <w:rFonts w:hint="eastAsia" w:ascii="仿宋_GB2312" w:eastAsia="仿宋_GB2312"/>
          <w:sz w:val="28"/>
          <w:szCs w:val="28"/>
        </w:rPr>
        <w:t>合同编号：</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甲方通过磋商的采购方式，确定乙方为</w:t>
      </w:r>
      <w:r>
        <w:rPr>
          <w:rFonts w:hint="eastAsia" w:ascii="仿宋_GB2312" w:hAnsi="华文中宋" w:eastAsia="仿宋_GB2312"/>
          <w:szCs w:val="28"/>
          <w:u w:val="single"/>
        </w:rPr>
        <w:t xml:space="preserve"> 2022-2024</w:t>
      </w:r>
      <w:r>
        <w:rPr>
          <w:rFonts w:hint="eastAsia" w:ascii="仿宋_GB2312" w:hAnsi="华文中宋" w:eastAsia="仿宋_GB2312"/>
          <w:szCs w:val="28"/>
        </w:rPr>
        <w:t>年度社会化汽车租赁服务公司。为进一步明确双方的责任，确保合同的顺利履行，根据《中华人民共和国合同法》等相关法律法规，甲、乙双方本着平等、自愿的原则，在保护双方合法权益的前提下，同意按下述款项和条件签订本服务合同（以下简称“</w:t>
      </w:r>
      <w:r>
        <w:rPr>
          <w:rFonts w:hint="eastAsia" w:ascii="仿宋_GB2312" w:hAnsi="华文中宋" w:eastAsia="仿宋_GB2312"/>
          <w:b/>
          <w:bCs/>
          <w:szCs w:val="28"/>
        </w:rPr>
        <w:t>合同</w:t>
      </w:r>
      <w:r>
        <w:rPr>
          <w:rFonts w:hint="eastAsia" w:ascii="仿宋_GB2312" w:hAnsi="华文中宋" w:eastAsia="仿宋_GB2312"/>
          <w:szCs w:val="28"/>
        </w:rPr>
        <w:t xml:space="preserve">”）： </w:t>
      </w:r>
    </w:p>
    <w:p>
      <w:pPr>
        <w:snapToGrid w:val="0"/>
        <w:spacing w:line="480" w:lineRule="exact"/>
        <w:ind w:firstLine="562" w:firstLineChars="200"/>
        <w:jc w:val="left"/>
        <w:rPr>
          <w:rFonts w:ascii="仿宋_GB2312" w:hAnsi="华文中宋" w:eastAsia="仿宋_GB2312"/>
          <w:b/>
          <w:szCs w:val="28"/>
        </w:rPr>
      </w:pPr>
      <w:r>
        <w:rPr>
          <w:rFonts w:hint="eastAsia" w:ascii="仿宋_GB2312" w:hAnsi="华文中宋" w:eastAsia="仿宋_GB2312"/>
          <w:b/>
          <w:szCs w:val="28"/>
        </w:rPr>
        <w:t>一、合同内容</w:t>
      </w:r>
    </w:p>
    <w:p>
      <w:pPr>
        <w:snapToGrid w:val="0"/>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（一）项目概况</w:t>
      </w:r>
    </w:p>
    <w:p>
      <w:pPr>
        <w:snapToGrid w:val="0"/>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本项目为规范公务用车租赁使用，加强公务出行保障，拟采购信誉好、服务优、实力强的汽车租赁企业，用于集中出行、会议用车、考察调研、教学科研、应急公务等。</w:t>
      </w:r>
    </w:p>
    <w:p>
      <w:pPr>
        <w:snapToGrid w:val="0"/>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（二）项目内容</w:t>
      </w:r>
    </w:p>
    <w:p>
      <w:pPr>
        <w:snapToGrid w:val="0"/>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用于集中出行、会议用车、考察调研、教学科研（教学用车包括学生下点实习用车）、应急公务等。其中学生下点实习用车目的地包括但不限于以下地点：马鞍山、铜陵、合肥、宣城、池州、安庆、六安、淮南、淮北、滁州、蚌埠、阜阳、阜阳太和、黄山、宁国、巢湖、南京市、南京溧水、常州溧阳、常州市、盐城、淮安、无锡、苏州、宁波、上海、湖州、湖州长兴、台州、嘉兴、徐州、扬州、海宁、昆山、常熟、宜兴、丹阳、武汉、杭州、镇江、句容、歙县、无为。学生下点实习用车多租赁大巴车，最高峰要求车辆57辆。提供各类租赁包车服务的投标单位需符合国家相关规定，学校下属单位要求提供相关资质材料的，投标单位应据实出具。</w:t>
      </w:r>
    </w:p>
    <w:p>
      <w:pPr>
        <w:snapToGrid w:val="0"/>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（三）其他要求</w:t>
      </w:r>
    </w:p>
    <w:p>
      <w:pPr>
        <w:snapToGrid w:val="0"/>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1.成交供应商须拥有自有办公场地的，办公场地为租用的，租用的合同有效期限不少于2年，从事汽车租赁服务的管理人员不少于5人；成交供应商如公司不在芜湖，应在收到中标通知书30日内完成在芜湖市注册分(子)公司以及按照投标文件投入运营相应车辆，订立租赁合同时必须由分（子）公司与总公司共同盖章。</w:t>
      </w:r>
    </w:p>
    <w:p>
      <w:pPr>
        <w:snapToGrid w:val="0"/>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2.成交供应商须具有健全的安全生产经营制度和措施；驾驶员聘用及培训管理规范，提供包车服务的驾驶员须具有5年以上工作经验，无违法违纪行为；所有提供包车服务的车辆安装卫星定位装置并建立车辆动态监管平台。</w:t>
      </w:r>
    </w:p>
    <w:p>
      <w:pPr>
        <w:snapToGrid w:val="0"/>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3．提供全天候24小时服务，临时租车市内30分钟以内到达租车单位；供应商承诺设置24小时救援值班电话，建立救援登记制度，保证24小时有人值守；提供应具备应急救援能力。</w:t>
      </w:r>
    </w:p>
    <w:p>
      <w:pPr>
        <w:snapToGrid w:val="0"/>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4．按GB/T 18344-2001的规定及原车使用说明书规定，定程（时）进行日常维护。</w:t>
      </w:r>
    </w:p>
    <w:p>
      <w:pPr>
        <w:snapToGrid w:val="0"/>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5．供应商在基本服务质量要求外，应就车辆的卫生保洁、服务创新、服务质量标准化、应急方案、服务监督、重大活动保障等方面提出服务承诺。</w:t>
      </w:r>
    </w:p>
    <w:p>
      <w:pPr>
        <w:snapToGrid w:val="0"/>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6．租赁服务车辆保险按照国家相关法律规定足额投保，在租赁服务过程中发生的交通事故等一切损失及责任与承租单位或承租人无关，由供应商全权负责。</w:t>
      </w:r>
    </w:p>
    <w:p>
      <w:pPr>
        <w:snapToGrid w:val="0"/>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7．履约管理。建立健全政府采购车辆租赁管理档案；车辆租赁运行中接到使用人有效投诉3次以上即给予相应处罚直至取消该公司租赁服务资格。</w:t>
      </w:r>
    </w:p>
    <w:p>
      <w:pPr>
        <w:snapToGrid w:val="0"/>
        <w:spacing w:line="480" w:lineRule="exact"/>
        <w:ind w:firstLine="562" w:firstLineChars="200"/>
        <w:jc w:val="left"/>
        <w:rPr>
          <w:rFonts w:ascii="仿宋_GB2312" w:hAnsi="华文中宋" w:eastAsia="仿宋_GB2312"/>
          <w:b/>
          <w:szCs w:val="28"/>
        </w:rPr>
      </w:pPr>
      <w:r>
        <w:rPr>
          <w:rFonts w:hint="eastAsia" w:ascii="仿宋_GB2312" w:hAnsi="华文中宋" w:eastAsia="仿宋_GB2312"/>
          <w:b/>
          <w:szCs w:val="28"/>
        </w:rPr>
        <w:t>二、服务期限</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本次合同服务期限自双方合同正式生效之日起至</w:t>
      </w:r>
      <w:r>
        <w:rPr>
          <w:rFonts w:hint="eastAsia" w:ascii="仿宋_GB2312" w:hAnsi="华文中宋" w:eastAsia="仿宋_GB2312"/>
          <w:szCs w:val="28"/>
          <w:u w:val="single"/>
        </w:rPr>
        <w:t xml:space="preserve"> 2024 </w:t>
      </w:r>
      <w:r>
        <w:rPr>
          <w:rFonts w:hint="eastAsia" w:ascii="仿宋_GB2312" w:hAnsi="华文中宋" w:eastAsia="仿宋_GB2312"/>
          <w:szCs w:val="28"/>
        </w:rPr>
        <w:t>年</w:t>
      </w:r>
      <w:r>
        <w:rPr>
          <w:rFonts w:hint="eastAsia" w:ascii="仿宋_GB2312" w:hAnsi="华文中宋" w:eastAsia="仿宋_GB2312"/>
          <w:szCs w:val="28"/>
          <w:u w:val="single"/>
        </w:rPr>
        <w:t xml:space="preserve"> 12 </w:t>
      </w:r>
      <w:r>
        <w:rPr>
          <w:rFonts w:hint="eastAsia" w:ascii="仿宋_GB2312" w:hAnsi="华文中宋" w:eastAsia="仿宋_GB2312"/>
          <w:szCs w:val="28"/>
        </w:rPr>
        <w:t>月</w:t>
      </w:r>
      <w:r>
        <w:rPr>
          <w:rFonts w:hint="eastAsia" w:ascii="仿宋_GB2312" w:hAnsi="华文中宋" w:eastAsia="仿宋_GB2312"/>
          <w:szCs w:val="28"/>
          <w:u w:val="single"/>
        </w:rPr>
        <w:t xml:space="preserve"> 31 </w:t>
      </w:r>
      <w:r>
        <w:rPr>
          <w:rFonts w:hint="eastAsia" w:ascii="仿宋_GB2312" w:hAnsi="华文中宋" w:eastAsia="仿宋_GB2312"/>
          <w:szCs w:val="28"/>
        </w:rPr>
        <w:t>日为止。经综合考核符合要求的，可以续签第叁年合同，若考核未达到要求或未履行服务承诺的，甲方有权终止合同。</w:t>
      </w:r>
    </w:p>
    <w:p>
      <w:pPr>
        <w:spacing w:line="480" w:lineRule="exact"/>
        <w:ind w:firstLine="562" w:firstLineChars="200"/>
        <w:jc w:val="left"/>
        <w:rPr>
          <w:rFonts w:hint="eastAsia" w:ascii="仿宋_GB2312" w:hAnsi="华文中宋" w:eastAsia="仿宋_GB2312"/>
          <w:b/>
          <w:szCs w:val="28"/>
        </w:rPr>
      </w:pPr>
    </w:p>
    <w:p>
      <w:pPr>
        <w:spacing w:line="480" w:lineRule="exact"/>
        <w:ind w:firstLine="562" w:firstLineChars="200"/>
        <w:jc w:val="left"/>
        <w:rPr>
          <w:rFonts w:hint="eastAsia" w:ascii="仿宋_GB2312" w:hAnsi="华文中宋" w:eastAsia="仿宋_GB2312"/>
          <w:b/>
          <w:szCs w:val="28"/>
        </w:rPr>
      </w:pPr>
    </w:p>
    <w:p>
      <w:pPr>
        <w:spacing w:line="480" w:lineRule="exact"/>
        <w:ind w:firstLine="562" w:firstLineChars="200"/>
        <w:jc w:val="left"/>
        <w:rPr>
          <w:rFonts w:hint="eastAsia" w:ascii="仿宋_GB2312" w:hAnsi="华文中宋" w:eastAsia="仿宋_GB2312"/>
          <w:b/>
          <w:szCs w:val="28"/>
        </w:rPr>
      </w:pPr>
    </w:p>
    <w:p>
      <w:pPr>
        <w:spacing w:line="480" w:lineRule="exact"/>
        <w:ind w:firstLine="562" w:firstLineChars="200"/>
        <w:jc w:val="left"/>
        <w:rPr>
          <w:rFonts w:hint="eastAsia" w:ascii="仿宋_GB2312" w:hAnsi="华文中宋" w:eastAsia="仿宋_GB2312"/>
          <w:b/>
          <w:szCs w:val="28"/>
        </w:rPr>
      </w:pPr>
    </w:p>
    <w:p>
      <w:pPr>
        <w:pStyle w:val="2"/>
        <w:rPr>
          <w:rFonts w:hint="eastAsia"/>
        </w:rPr>
      </w:pPr>
    </w:p>
    <w:p>
      <w:pPr>
        <w:spacing w:line="480" w:lineRule="exact"/>
        <w:ind w:firstLine="562" w:firstLineChars="200"/>
        <w:jc w:val="left"/>
        <w:rPr>
          <w:rFonts w:ascii="仿宋_GB2312" w:hAnsi="华文中宋" w:eastAsia="仿宋_GB2312"/>
          <w:b/>
          <w:szCs w:val="28"/>
        </w:rPr>
      </w:pPr>
      <w:r>
        <w:rPr>
          <w:rFonts w:hint="eastAsia" w:ascii="仿宋_GB2312" w:hAnsi="华文中宋" w:eastAsia="仿宋_GB2312"/>
          <w:b/>
          <w:szCs w:val="28"/>
        </w:rPr>
        <w:t>三、服务费用及结算方式</w:t>
      </w:r>
    </w:p>
    <w:p>
      <w:pPr>
        <w:snapToGrid w:val="0"/>
        <w:spacing w:line="480" w:lineRule="exact"/>
        <w:ind w:firstLine="560" w:firstLineChars="200"/>
        <w:jc w:val="left"/>
        <w:rPr>
          <w:rFonts w:ascii="仿宋_GB2312" w:hAnsi="华文中宋" w:eastAsia="仿宋_GB2312"/>
          <w:szCs w:val="28"/>
        </w:rPr>
      </w:pPr>
    </w:p>
    <w:p>
      <w:pPr>
        <w:snapToGrid w:val="0"/>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（以下图片以实际招标价格为准）</w:t>
      </w:r>
    </w:p>
    <w:p>
      <w:pPr>
        <w:snapToGrid w:val="0"/>
        <w:spacing w:line="480" w:lineRule="exact"/>
        <w:jc w:val="left"/>
        <w:rPr>
          <w:rFonts w:ascii="仿宋_GB2312" w:hAnsi="华文中宋" w:eastAsia="仿宋_GB2312"/>
          <w:szCs w:val="28"/>
        </w:rPr>
      </w:pPr>
    </w:p>
    <w:p>
      <w:pPr>
        <w:snapToGrid w:val="0"/>
        <w:spacing w:line="480" w:lineRule="exact"/>
        <w:ind w:firstLine="560" w:firstLineChars="200"/>
        <w:jc w:val="left"/>
        <w:rPr>
          <w:rFonts w:ascii="仿宋_GB2312" w:hAnsi="华文中宋" w:eastAsia="仿宋_GB2312"/>
          <w:szCs w:val="28"/>
        </w:rPr>
      </w:pPr>
    </w:p>
    <w:p>
      <w:pPr>
        <w:snapToGrid w:val="0"/>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drawing>
          <wp:anchor distT="0" distB="0" distL="114300" distR="114300" simplePos="0" relativeHeight="251661312" behindDoc="0" locked="0" layoutInCell="1" allowOverlap="1">
            <wp:simplePos x="0" y="0"/>
            <wp:positionH relativeFrom="column">
              <wp:posOffset>57150</wp:posOffset>
            </wp:positionH>
            <wp:positionV relativeFrom="paragraph">
              <wp:posOffset>-28575</wp:posOffset>
            </wp:positionV>
            <wp:extent cx="5276850" cy="2162175"/>
            <wp:effectExtent l="0" t="0" r="0" b="952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5276850" cy="2162175"/>
                    </a:xfrm>
                    <a:prstGeom prst="rect">
                      <a:avLst/>
                    </a:prstGeom>
                  </pic:spPr>
                </pic:pic>
              </a:graphicData>
            </a:graphic>
          </wp:anchor>
        </w:drawing>
      </w:r>
      <w:r>
        <w:rPr>
          <w:rFonts w:hint="eastAsia" w:ascii="仿宋_GB2312" w:hAnsi="华文中宋" w:eastAsia="仿宋_GB2312"/>
          <w:szCs w:val="28"/>
        </w:rPr>
        <w:t>1.以上价格为各类车型包车服务价格上限，实际租赁和包车价格≤各类车型租赁和包车服务价格上限。</w:t>
      </w:r>
    </w:p>
    <w:p>
      <w:pPr>
        <w:snapToGrid w:val="0"/>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2.合肥（含新桥机场）、南京禄口机场为车辆使用一天价格含过路过桥费及停车费、驾驶员餐费，驾驶员住宿费另算；其他行程结算=半日租/日租+超时费/超公里费+驾驶员住宿费+过路过桥费及停车费，不再增加税费。</w:t>
      </w:r>
    </w:p>
    <w:p>
      <w:pPr>
        <w:snapToGrid w:val="0"/>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3.超时及超公里价格</w:t>
      </w:r>
    </w:p>
    <w:p>
      <w:pPr>
        <w:snapToGrid w:val="0"/>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1）市内（含四县四区）用车，既有超时又有超公里数，分别按照超时费和超公里数费结算，再进行累加。4小时至6小时内（含6小时），按半日租加上超时超公里数费用计算；超过半小时（含半小时）且不足一小时按一小时计算。6小时以上按照日租加上超时超公里数费用计算。超时费上线封顶为200元。市内短时短途用车（如芜湖站接站等），可由用车部门与租赁公司协商定价，价格不超过半日租费用。</w:t>
      </w:r>
    </w:p>
    <w:p>
      <w:pPr>
        <w:snapToGrid w:val="0"/>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（2）长途是指四县四区以外的区域，按日租加上超公里数费用计算，长途包车不再另收超时费。</w:t>
      </w:r>
    </w:p>
    <w:p>
      <w:pPr>
        <w:snapToGrid w:val="0"/>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4.驾驶员住宿及餐饮费</w:t>
      </w:r>
    </w:p>
    <w:p>
      <w:pPr>
        <w:snapToGrid w:val="0"/>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驾驶员过夜住宿费按省内200元/天；省外300元/天为上限按实支付；餐饮费由租赁公司负责支付，学校不再另行支付。</w:t>
      </w:r>
    </w:p>
    <w:p>
      <w:pPr>
        <w:snapToGrid w:val="0"/>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5.过路过桥费及停车费的税费</w:t>
      </w:r>
    </w:p>
    <w:p>
      <w:pPr>
        <w:snapToGrid w:val="0"/>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过路过桥费及停车费按实支付，随包车费用一并结算，不再增加税费。</w:t>
      </w:r>
    </w:p>
    <w:p>
      <w:pPr>
        <w:snapToGrid w:val="0"/>
        <w:spacing w:line="480" w:lineRule="exact"/>
        <w:ind w:firstLine="562" w:firstLineChars="200"/>
        <w:jc w:val="left"/>
        <w:rPr>
          <w:rFonts w:ascii="仿宋_GB2312" w:hAnsi="华文中宋" w:eastAsia="仿宋_GB2312"/>
          <w:b/>
          <w:szCs w:val="28"/>
        </w:rPr>
      </w:pPr>
      <w:r>
        <w:rPr>
          <w:rFonts w:hint="eastAsia" w:ascii="仿宋_GB2312" w:hAnsi="华文中宋" w:eastAsia="仿宋_GB2312"/>
          <w:b/>
          <w:szCs w:val="28"/>
        </w:rPr>
        <w:t>四、甲方的权利和义务</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1．甲方有权对乙方进行日常监督和检查，并建立退出递补机制，退出情况包括但不限于本合同第六条“违约责任”和第九条“合同的终止”中的内容。</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2．甲方有权对乙方进行价格、服务承诺等履约情况进行监督检查，也可以委托第三方以暗访等形式收集数据，作为对乙方履约情况或考核的依据。</w:t>
      </w:r>
    </w:p>
    <w:p>
      <w:pPr>
        <w:spacing w:line="480" w:lineRule="exact"/>
        <w:jc w:val="left"/>
        <w:rPr>
          <w:rFonts w:ascii="仿宋_GB2312" w:hAnsi="华文中宋" w:eastAsia="仿宋_GB2312"/>
          <w:szCs w:val="28"/>
        </w:rPr>
      </w:pPr>
      <w:r>
        <w:rPr>
          <w:rFonts w:hint="eastAsia" w:ascii="仿宋_GB2312" w:hAnsi="华文中宋" w:eastAsia="仿宋_GB2312"/>
          <w:szCs w:val="28"/>
        </w:rPr>
        <w:t xml:space="preserve">    3．甲方接到被服务对象对乙方提供的服务质量等问题投诉后，甲方有权进行核查，如情况属实，要求乙方及时消除影响、弥补损失。</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4．甲方对乙方日常监督和检查中，发现问题，有权向乙方发送整改通知书，要求限期整改。乙方连续两次收到甲方下发的整改通知书，甲方有权终止合同。</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5．甲方有权将乙方的考核结果作为下一期皖南医学院车辆租赁服务采购的评分参考依据。</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6．甲方对其下属各单位拖欠乙方汽车租赁费用不承担任何责任。</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7．甲方负责协调乙方与其下属各单位在租赁业务开展中的关系与矛盾。</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8．对乙方业务开展和履行合同情况，甲方有权在学校网站或其他媒体上公布。</w:t>
      </w:r>
    </w:p>
    <w:p>
      <w:pPr>
        <w:tabs>
          <w:tab w:val="left" w:pos="315"/>
        </w:tabs>
        <w:adjustRightInd w:val="0"/>
        <w:snapToGrid w:val="0"/>
        <w:spacing w:line="480" w:lineRule="exact"/>
        <w:ind w:firstLine="562" w:firstLineChars="200"/>
        <w:jc w:val="left"/>
        <w:rPr>
          <w:rFonts w:ascii="仿宋_GB2312" w:hAnsi="华文中宋" w:eastAsia="仿宋_GB2312"/>
          <w:b/>
          <w:szCs w:val="28"/>
        </w:rPr>
      </w:pPr>
      <w:r>
        <w:rPr>
          <w:rFonts w:hint="eastAsia" w:ascii="仿宋_GB2312" w:hAnsi="华文中宋" w:eastAsia="仿宋_GB2312"/>
          <w:b/>
          <w:szCs w:val="28"/>
        </w:rPr>
        <w:t>五、乙方的权利和义务</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1．乙方须按照甲方要求，尽快完成分公司注册（针对市外企业）、投入运营登记等相关准备工作，并及时将运营车辆信息、投保情况和保障方案等报甲方备案。</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2、乙方须在其报价范围内与被服务单位签订补充协议，并在协议中约定结算方式，向被服务单位提供正规发票。对于不能出示有效证明，证明其在合同服务范围之内的单位，乙方有权拒绝向其提供合同价格的服务，乙方有权拒绝被服务单位提出的超出规定服务范围和虚开发票的要求。</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3．乙方须严格遵守国家法律、法规和相关规定，诚实、守信，合法经营，自觉维护租用单位的利益，全面履行响应承诺，杜绝不正当竞争行为，优先服务被服务对象，确保服务质量。</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4．在合同有效期内，乙方在特定时间内对社会举办的优惠活动，被服务单位有权参加其优惠活动并享受其优惠政策；乙方提供的服务车辆等设施设备、服务质量等要符合国家规定标准，不得因价格优惠而减少服务项目、降低服务质量。</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5．在合同有效期内，乙方须按承诺向保险公司投保的险种及保额为租用单位承租的车辆投保，并承担全部保险费用；服务车辆发生事故时，由乙方负责索赔事宜，并承担相应法律责任，与甲方和被服务对象无关。</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6．乙方须自觉接受并积极配合甲方进行日常监督、检查。</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7．乙方同意甲方建立的退出递补机制，退出情况包括但不限于本协议第六条“违约责任”和第九条“合同的终止”中的内容。</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8．乙方须严格按甲方要求完成以下工作，不能完成以下工作将被记录并作为监督检查的依据。由于乙方未按甲方要求完成以下工作所造成的不利影响由乙方承担。</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（1）按时参加甲方举办的培训及召开的会议；</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（2）按甲方的要求递交数据资料及各类统计报表等材料；</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（3）配备专人负责租赁服务相关事宜，按要求填报及更新相关信息，保证联系人、联系电话等信息真实齐全；</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（4）保存好合同有效期内所有结算单据及合同，以备甲方进行检查；</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（5）须具备公务卡结算的能力（即刷信用卡结算的能力），并提供正规发票；</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（6）须为被服务单位建立档案并及时进行信息更新，建立健全客户服务制度等内部管理机制并严格执行；</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（7）不做向被服务单位行贿或者提供其他不正当利益的行为；</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（8）将承诺为政府采购租赁车辆提供的保险承担方式、险种及保额，告知被服务单位，并应在与被服务单位单位签订的合同中写明。</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（9）乙方按照甲方制定的租车价格标准执行，不得擅自增加和更改价格标准。</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9．在合同有效期内，乙方应保证服务车辆等设施设备完好，具备履行合同的能力。如乙方设备、设施发生足以影响服务能力的重大变化，应在变化发生后十个工作日内书面通知甲方，甲方根据实际情况决定是否继续履行合同。</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10.在合同有效期内，乙方为甲方提供车辆租赁服务业务时，不得以任何形式和个人、非中标单位进行合作经营。如出现上述情况，所产生的法律纠纷，乙方承担所有责任。</w:t>
      </w:r>
    </w:p>
    <w:p>
      <w:pPr>
        <w:snapToGrid w:val="0"/>
        <w:spacing w:line="480" w:lineRule="exact"/>
        <w:ind w:firstLine="562" w:firstLineChars="200"/>
        <w:jc w:val="left"/>
        <w:rPr>
          <w:rFonts w:ascii="仿宋_GB2312" w:hAnsi="华文中宋" w:eastAsia="仿宋_GB2312"/>
          <w:b/>
          <w:szCs w:val="28"/>
        </w:rPr>
      </w:pPr>
      <w:r>
        <w:rPr>
          <w:rFonts w:hint="eastAsia" w:ascii="仿宋_GB2312" w:hAnsi="华文中宋" w:eastAsia="仿宋_GB2312"/>
          <w:b/>
          <w:szCs w:val="28"/>
        </w:rPr>
        <w:t>六、违约责任</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1．甲、乙任何一方违反本合同的约定，应当承担违约责任，并赔偿对方的实际损失。乙方违约行为给租用单位造成经济损失的，租用单位有权按实际经济损失要求乙方进行赔偿。</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2．乙方违反合同约定，出现下列违约行为之一的，甲方经调查属实，给予书面警告并限期整改，在整改期间内暂停其车辆租赁服务,整改期满后（如整改期超出合同有效期，则整改期至合同有效期满为止），乙方向甲方书面申请恢复租赁服务，甲方检查合格后予以恢复，整改不到位的取消其车辆租赁服务资格。违约行为包括但不限于：</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（1）无正当理由拒绝按合同承诺服务租用单位的；</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（2）超过合同规定价格收费的；</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（3）提供虚假发票、保险单的；</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（4）实际出租车辆与租赁合同、结算明细单中填写车辆不符的；</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（5）被租用单位投诉并经甲方查证属实的；</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（6）综合考核评定不合格的；</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（7）不履行承诺服务的；</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（8）不积极配合政府采购监管部门和甲方综合监督检查的；</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（9）接受非本公司车辆挂户经营为本合同范围内单位服务的；</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（10）没有提供具有5年以上工作经验，无犯罪记录，无违法乱纪等行为的驾驶人员服务。</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（11）违反合同规定的其他事项。</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3．乙方与租用单位签订的租赁合同中，乙方的义务不得低于本合同中约定的义务以及乙方签订的承诺书，乙方相应的义务以本合同为准；</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4．如乙方承诺向保险公司投保，但实际协议履行过程中并未向保险公司投保，致使发生保险事故后无法向保险公司要求赔付，则乙方承担全部责任；</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5. 甲方接到被服务对象对乙方提供的服务质量等问题投诉后，经核查属实，第一次在履约保证金中扣除5000元；第二次扣除10000元；第三次取消乙方的车辆租赁服务，并不予退还履约保证金。</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6．乙方违约情节特别严重的，甲方及时与芜湖市政府部门反映，甲方可依法对其采取列入不良行为记录名单、不予退还履约保证金、并予以通报。</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7、不可抗力</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1）合同任一方由于受诸如战争、骚乱、瘟疫、严重火灾、洪水、台风、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2）遭受不可抗力一方应在不可抗力事故发生后尽快以书面形式通知对方，并于事故发生后14天内将有关部门出具的证明文件、详细情况报告以及不可抗力对履行合同影响程度的说明用特快专递或挂号信寄给对方。</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3）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一旦不可抗力事故的影响持续120天以上，甲乙双方通过友好协商，在合理的时间内达成进一步履行合同或终止合同的协议。</w:t>
      </w:r>
    </w:p>
    <w:p>
      <w:pPr>
        <w:tabs>
          <w:tab w:val="left" w:pos="630"/>
        </w:tabs>
        <w:adjustRightInd w:val="0"/>
        <w:snapToGrid w:val="0"/>
        <w:spacing w:line="480" w:lineRule="exact"/>
        <w:ind w:firstLine="562" w:firstLineChars="200"/>
        <w:jc w:val="left"/>
        <w:rPr>
          <w:rFonts w:ascii="仿宋_GB2312" w:hAnsi="华文中宋" w:eastAsia="仿宋_GB2312"/>
          <w:b/>
          <w:szCs w:val="28"/>
        </w:rPr>
      </w:pPr>
      <w:r>
        <w:rPr>
          <w:rFonts w:hint="eastAsia" w:ascii="仿宋_GB2312" w:hAnsi="华文中宋" w:eastAsia="仿宋_GB2312"/>
          <w:b/>
          <w:szCs w:val="28"/>
        </w:rPr>
        <w:t>七、合同修改</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对于本合同的未尽事宜，需进行修改、补充或完善的，甲乙双方必须就所修改的内容签订书面的合同修改书，作为本合同的补充合同。补充合同与本合同具有同等法律效力。</w:t>
      </w:r>
    </w:p>
    <w:p>
      <w:pPr>
        <w:tabs>
          <w:tab w:val="left" w:pos="630"/>
        </w:tabs>
        <w:adjustRightInd w:val="0"/>
        <w:snapToGrid w:val="0"/>
        <w:spacing w:line="480" w:lineRule="exact"/>
        <w:ind w:firstLine="562" w:firstLineChars="200"/>
        <w:jc w:val="left"/>
        <w:rPr>
          <w:rFonts w:ascii="仿宋_GB2312" w:hAnsi="华文中宋" w:eastAsia="仿宋_GB2312"/>
          <w:b/>
          <w:szCs w:val="28"/>
        </w:rPr>
      </w:pPr>
      <w:r>
        <w:rPr>
          <w:rFonts w:hint="eastAsia" w:ascii="仿宋_GB2312" w:hAnsi="华文中宋" w:eastAsia="仿宋_GB2312"/>
          <w:b/>
          <w:szCs w:val="28"/>
        </w:rPr>
        <w:t>八．保密条款</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1、任何一方对其获知的本合同涉及的所有有形、无形的信息及资料（包括但不限于甲乙双方的往来书面文字文件、电子邮件及信息、软盘资料等）中另一方的商业秘密或国家秘密负有保密义务。</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2、除非法律、法规另有规定或得到本合同之另一方的书面许可，任何一方不得向第三人泄露前款规定的商业秘密或国家秘密。保密期限自任何一方获知该商业秘密或国家秘密之日起至本条规定的秘密成为公众信息之日止。</w:t>
      </w:r>
    </w:p>
    <w:p>
      <w:pPr>
        <w:spacing w:line="480" w:lineRule="exact"/>
        <w:ind w:firstLine="562" w:firstLineChars="200"/>
        <w:jc w:val="left"/>
        <w:rPr>
          <w:rFonts w:ascii="仿宋_GB2312" w:hAnsi="华文中宋" w:eastAsia="仿宋_GB2312"/>
          <w:b/>
          <w:szCs w:val="28"/>
        </w:rPr>
      </w:pPr>
      <w:r>
        <w:rPr>
          <w:rFonts w:hint="eastAsia" w:ascii="仿宋_GB2312" w:hAnsi="华文中宋" w:eastAsia="仿宋_GB2312"/>
          <w:b/>
          <w:szCs w:val="28"/>
        </w:rPr>
        <w:t>九、合同的终止</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1、合同期内乙方不得擅自终止合同，否则应负担所造成的一切损失。如乙方因故需终止合同，必须提前一个月书面通知甲方，经甲方书面同意后方可终止。</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2．出现下列情况时本合同自行终止：</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（1）本合同正常履行完毕；</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（2）甲乙双方协商终止本合同的履行；</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（3）不可抗力导致本合同无法履行或履行不必要时；</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（4）乙方不履行合同条款，造成无法执行合同，协商又不能解决的，乙方赔偿损失后，合同终止。</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（5）乙方提供服务的车辆在服务过程中发生重大交通责任事故（含）以上负有同等（含）责任以上的；甲方有权终止合同。</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（6）乙方如经营或提供7座以上的车辆（黄牌照车）为合同范围内单位服务的，必须要具备有效的道路运输经营许可证资质，如擅自在未取得资质的情况下为单位提供超出本身资质条件的服务，合同自行终止。</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3．除本合同另有约定外，发生任何以下一种情况，甲方有权解除本合同，并取消乙方车辆租赁服务，对于由此给乙方造成的损失甲方不承担赔偿责任，对于由此给甲方造成的损失，乙方应负赔偿责任：</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（1）乙方被租用单位投诉违约情节特别严重的；</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（2）在实地抽查中发现重大违约违法行为，严重损害租用单位利益或政府采购形象的；</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（3）乙方各项本应作拒绝谈判处理的情形在本合同签订后被甲方发现的；</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（4）乙方设备设施发生重大变化，未按规定向甲方申报，已不满足谈判文件提出的要求的；</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（5）乙方未能严格遵守法律、法规的规定，被相关部门处理并经甲方核实后认定的。</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（6）发生事故后，乙方未能按照《供应商保险及风险承担承诺书》中的承诺为用户进行理赔的。</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4.出现本合同“六、违约责任”中“取消车辆租赁服务”情况的。</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5、乙方违反服务承诺书中所承诺内容的。</w:t>
      </w:r>
    </w:p>
    <w:p>
      <w:pPr>
        <w:tabs>
          <w:tab w:val="left" w:pos="630"/>
        </w:tabs>
        <w:adjustRightInd w:val="0"/>
        <w:snapToGrid w:val="0"/>
        <w:spacing w:line="480" w:lineRule="exact"/>
        <w:ind w:firstLine="562" w:firstLineChars="200"/>
        <w:jc w:val="left"/>
        <w:rPr>
          <w:rFonts w:ascii="仿宋_GB2312" w:hAnsi="华文中宋" w:eastAsia="仿宋_GB2312"/>
          <w:b/>
          <w:szCs w:val="28"/>
        </w:rPr>
      </w:pPr>
      <w:r>
        <w:rPr>
          <w:rFonts w:hint="eastAsia" w:ascii="仿宋_GB2312" w:hAnsi="华文中宋" w:eastAsia="仿宋_GB2312"/>
          <w:b/>
          <w:szCs w:val="28"/>
        </w:rPr>
        <w:t>十、合同生效及其他</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1．除非合同中另有说明，本合同经甲乙双方法定代表人或授权代表签字或盖章后，即开始生效；</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2．本合同中的附件均为本合同不可分割的部分，与本合同具有同等的法律效力；</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3．本合同一式4份，甲乙双方各执2份。</w:t>
      </w:r>
    </w:p>
    <w:p>
      <w:pPr>
        <w:tabs>
          <w:tab w:val="left" w:pos="630"/>
        </w:tabs>
        <w:adjustRightInd w:val="0"/>
        <w:snapToGrid w:val="0"/>
        <w:spacing w:line="480" w:lineRule="exact"/>
        <w:ind w:firstLine="562" w:firstLineChars="200"/>
        <w:jc w:val="left"/>
        <w:rPr>
          <w:rFonts w:ascii="仿宋_GB2312" w:hAnsi="华文中宋" w:eastAsia="仿宋_GB2312"/>
          <w:b/>
          <w:szCs w:val="28"/>
        </w:rPr>
      </w:pPr>
      <w:r>
        <w:rPr>
          <w:rFonts w:hint="eastAsia" w:ascii="仿宋_GB2312" w:hAnsi="华文中宋" w:eastAsia="仿宋_GB2312"/>
          <w:b/>
          <w:szCs w:val="28"/>
        </w:rPr>
        <w:t>十一、纠纷解决方式</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因本合同发生的争端，甲乙双方应通过友好协商解决，协商不成的，向芜湖仲裁委员会申请仲裁。</w:t>
      </w:r>
    </w:p>
    <w:p>
      <w:pPr>
        <w:tabs>
          <w:tab w:val="left" w:pos="630"/>
        </w:tabs>
        <w:adjustRightInd w:val="0"/>
        <w:snapToGrid w:val="0"/>
        <w:spacing w:line="480" w:lineRule="exact"/>
        <w:ind w:firstLine="562" w:firstLineChars="200"/>
        <w:jc w:val="left"/>
        <w:rPr>
          <w:rFonts w:ascii="仿宋_GB2312" w:hAnsi="华文中宋" w:eastAsia="仿宋_GB2312"/>
          <w:b/>
          <w:szCs w:val="28"/>
        </w:rPr>
      </w:pPr>
      <w:r>
        <w:rPr>
          <w:rFonts w:hint="eastAsia" w:ascii="仿宋_GB2312" w:hAnsi="华文中宋" w:eastAsia="仿宋_GB2312"/>
          <w:b/>
          <w:szCs w:val="28"/>
        </w:rPr>
        <w:t>十三、合同的解释</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1．任何一方对本协议及其附件的解释均应遵循诚实信用原则，依照本合同签订时有效的中华人民共和国的法律、法规以及人们通常的理解进行。</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2．本合同标题仅供查阅方便，并非对本合同的诠释或解释，本合同中以日表述的时间期限均指公历日。</w:t>
      </w:r>
    </w:p>
    <w:p>
      <w:pPr>
        <w:spacing w:line="480" w:lineRule="exact"/>
        <w:ind w:firstLine="560" w:firstLineChars="200"/>
        <w:jc w:val="left"/>
        <w:rPr>
          <w:rFonts w:ascii="仿宋_GB2312" w:hAnsi="华文中宋" w:eastAsia="仿宋_GB2312"/>
          <w:szCs w:val="28"/>
        </w:rPr>
      </w:pPr>
      <w:r>
        <w:rPr>
          <w:rFonts w:hint="eastAsia" w:ascii="仿宋_GB2312" w:hAnsi="华文中宋" w:eastAsia="仿宋_GB2312"/>
          <w:szCs w:val="28"/>
        </w:rPr>
        <w:t>3．对本协议的任何解释均应以书面做出。</w:t>
      </w:r>
    </w:p>
    <w:p>
      <w:pPr>
        <w:spacing w:line="480" w:lineRule="exact"/>
        <w:ind w:firstLine="560" w:firstLineChars="200"/>
        <w:jc w:val="left"/>
        <w:rPr>
          <w:rFonts w:ascii="仿宋_GB2312" w:hAnsi="华文中宋" w:eastAsia="仿宋_GB2312"/>
          <w:szCs w:val="28"/>
        </w:rPr>
      </w:pPr>
    </w:p>
    <w:p>
      <w:pPr>
        <w:spacing w:line="460" w:lineRule="exact"/>
        <w:rPr>
          <w:rFonts w:ascii="仿宋" w:hAnsi="仿宋" w:eastAsia="仿宋"/>
          <w:szCs w:val="28"/>
        </w:rPr>
      </w:pPr>
      <w:r>
        <w:rPr>
          <w:rFonts w:hint="eastAsia" w:ascii="仿宋" w:hAnsi="仿宋" w:eastAsia="仿宋"/>
          <w:szCs w:val="28"/>
        </w:rPr>
        <w:t xml:space="preserve">买    方：                           卖    方：             </w:t>
      </w:r>
    </w:p>
    <w:p>
      <w:pPr>
        <w:spacing w:line="460" w:lineRule="exact"/>
        <w:rPr>
          <w:rFonts w:ascii="仿宋" w:hAnsi="仿宋" w:eastAsia="仿宋"/>
          <w:szCs w:val="28"/>
        </w:rPr>
      </w:pPr>
      <w:r>
        <w:rPr>
          <w:rFonts w:hint="eastAsia" w:ascii="仿宋" w:hAnsi="仿宋" w:eastAsia="仿宋"/>
          <w:szCs w:val="28"/>
        </w:rPr>
        <w:t>单位盖章：                           单位盖章：</w:t>
      </w:r>
    </w:p>
    <w:p>
      <w:pPr>
        <w:spacing w:line="460" w:lineRule="exact"/>
        <w:rPr>
          <w:rFonts w:ascii="仿宋" w:hAnsi="仿宋" w:eastAsia="仿宋"/>
          <w:szCs w:val="28"/>
        </w:rPr>
      </w:pPr>
      <w:r>
        <w:rPr>
          <w:rFonts w:hint="eastAsia" w:ascii="仿宋" w:hAnsi="仿宋" w:eastAsia="仿宋"/>
          <w:szCs w:val="28"/>
        </w:rPr>
        <w:t>法定代表人或委托代理人：             法定代表人或委托代理人：</w:t>
      </w:r>
    </w:p>
    <w:p>
      <w:pPr>
        <w:spacing w:line="460" w:lineRule="exact"/>
        <w:rPr>
          <w:rFonts w:ascii="仿宋" w:hAnsi="仿宋" w:eastAsia="仿宋"/>
          <w:szCs w:val="28"/>
        </w:rPr>
      </w:pPr>
      <w:r>
        <w:rPr>
          <w:rFonts w:hint="eastAsia" w:ascii="仿宋" w:hAnsi="仿宋" w:eastAsia="仿宋"/>
          <w:szCs w:val="28"/>
        </w:rPr>
        <w:t>日    期：                           日    期:</w:t>
      </w:r>
    </w:p>
    <w:p>
      <w:pPr>
        <w:pStyle w:val="3"/>
        <w:jc w:val="center"/>
        <w:rPr>
          <w:rFonts w:hint="eastAsia" w:ascii="华文中宋" w:hAnsi="华文中宋" w:eastAsia="华文中宋" w:cs="华文中宋"/>
          <w:szCs w:val="36"/>
        </w:rPr>
      </w:pPr>
    </w:p>
    <w:p>
      <w:pPr>
        <w:pStyle w:val="3"/>
        <w:jc w:val="center"/>
        <w:rPr>
          <w:rFonts w:hint="eastAsia" w:ascii="华文中宋" w:hAnsi="华文中宋" w:eastAsia="华文中宋" w:cs="华文中宋"/>
          <w:szCs w:val="36"/>
        </w:rPr>
      </w:pPr>
    </w:p>
    <w:p>
      <w:pPr>
        <w:pStyle w:val="3"/>
        <w:ind w:left="0" w:leftChars="0" w:firstLine="0" w:firstLineChars="0"/>
        <w:jc w:val="center"/>
        <w:rPr>
          <w:rFonts w:hint="eastAsia" w:ascii="华文中宋" w:hAnsi="华文中宋" w:eastAsia="华文中宋" w:cs="华文中宋"/>
          <w:szCs w:val="36"/>
        </w:rPr>
      </w:pPr>
    </w:p>
    <w:p>
      <w:pPr>
        <w:pStyle w:val="3"/>
        <w:ind w:left="0" w:leftChars="0" w:firstLine="0" w:firstLineChars="0"/>
        <w:jc w:val="both"/>
        <w:rPr>
          <w:rFonts w:hint="eastAsia" w:ascii="华文中宋" w:hAnsi="华文中宋" w:eastAsia="华文中宋" w:cs="华文中宋"/>
          <w:szCs w:val="36"/>
        </w:rPr>
      </w:pPr>
    </w:p>
    <w:p>
      <w:pPr>
        <w:rPr>
          <w:rFonts w:hint="eastAsia" w:ascii="华文中宋" w:hAnsi="华文中宋" w:eastAsia="华文中宋" w:cs="华文中宋"/>
          <w:szCs w:val="36"/>
        </w:rPr>
      </w:pPr>
    </w:p>
    <w:p>
      <w:pPr>
        <w:pStyle w:val="2"/>
        <w:rPr>
          <w:rFonts w:hint="eastAsia" w:ascii="华文中宋" w:hAnsi="华文中宋" w:eastAsia="华文中宋" w:cs="华文中宋"/>
          <w:szCs w:val="36"/>
        </w:rPr>
      </w:pPr>
    </w:p>
    <w:p>
      <w:pPr>
        <w:pStyle w:val="2"/>
        <w:rPr>
          <w:rFonts w:hint="eastAsia" w:ascii="华文中宋" w:hAnsi="华文中宋" w:eastAsia="华文中宋" w:cs="华文中宋"/>
          <w:szCs w:val="36"/>
        </w:rPr>
      </w:pPr>
    </w:p>
    <w:p>
      <w:pPr>
        <w:pStyle w:val="2"/>
        <w:rPr>
          <w:rFonts w:hint="eastAsia" w:ascii="华文中宋" w:hAnsi="华文中宋" w:eastAsia="华文中宋" w:cs="华文中宋"/>
          <w:szCs w:val="36"/>
        </w:rPr>
      </w:pPr>
    </w:p>
    <w:p>
      <w:pPr>
        <w:rPr>
          <w:rFonts w:hint="eastAsia"/>
        </w:rPr>
      </w:pPr>
    </w:p>
    <w:p>
      <w:pPr>
        <w:pStyle w:val="3"/>
        <w:numPr>
          <w:ilvl w:val="0"/>
          <w:numId w:val="2"/>
        </w:numPr>
        <w:ind w:left="0" w:leftChars="0" w:firstLine="0" w:firstLineChars="0"/>
        <w:jc w:val="center"/>
        <w:rPr>
          <w:rFonts w:hint="eastAsia" w:ascii="华文中宋" w:hAnsi="华文中宋" w:eastAsia="华文中宋" w:cs="华文中宋"/>
          <w:szCs w:val="36"/>
        </w:rPr>
      </w:pPr>
      <w:r>
        <w:rPr>
          <w:rFonts w:hint="eastAsia" w:ascii="华文中宋" w:hAnsi="华文中宋" w:eastAsia="华文中宋" w:cs="华文中宋"/>
          <w:szCs w:val="36"/>
        </w:rPr>
        <w:t>项目需求</w:t>
      </w:r>
      <w:bookmarkEnd w:id="114"/>
    </w:p>
    <w:p>
      <w:pPr>
        <w:ind w:firstLine="562" w:firstLineChars="200"/>
        <w:rPr>
          <w:rFonts w:ascii="仿宋_GB2312" w:eastAsia="仿宋_GB2312"/>
          <w:b/>
          <w:szCs w:val="28"/>
        </w:rPr>
      </w:pPr>
      <w:r>
        <w:rPr>
          <w:rFonts w:hint="eastAsia" w:ascii="仿宋_GB2312" w:eastAsia="仿宋_GB2312"/>
          <w:b/>
          <w:szCs w:val="28"/>
        </w:rPr>
        <w:t>一、项目概况</w:t>
      </w:r>
    </w:p>
    <w:p>
      <w:pPr>
        <w:ind w:firstLine="560" w:firstLineChars="200"/>
        <w:rPr>
          <w:rFonts w:ascii="仿宋_GB2312" w:eastAsia="仿宋_GB2312"/>
          <w:szCs w:val="28"/>
        </w:rPr>
      </w:pPr>
      <w:r>
        <w:rPr>
          <w:rFonts w:hint="eastAsia" w:ascii="仿宋_GB2312" w:eastAsia="仿宋_GB2312"/>
          <w:szCs w:val="28"/>
        </w:rPr>
        <w:t>本项目为规范公务用车租赁使用，加强公务出行保障，拟采购信誉好、服务优、实力强的汽车租赁企业，用于集中出行、会议用车、考察调研、教学科研、应急公务等，拟采购社会化汽车租赁服务公司5家。服务期限为2022年1月-2024年12月，合同一年一签。</w:t>
      </w:r>
    </w:p>
    <w:p>
      <w:pPr>
        <w:ind w:firstLine="562" w:firstLineChars="200"/>
        <w:rPr>
          <w:rFonts w:ascii="仿宋" w:hAnsi="仿宋" w:eastAsia="仿宋"/>
          <w:b/>
          <w:szCs w:val="28"/>
        </w:rPr>
      </w:pPr>
      <w:r>
        <w:rPr>
          <w:rFonts w:hint="eastAsia" w:ascii="仿宋" w:hAnsi="仿宋" w:eastAsia="仿宋"/>
          <w:b/>
          <w:szCs w:val="28"/>
        </w:rPr>
        <w:t>二、项目内容</w:t>
      </w:r>
    </w:p>
    <w:p>
      <w:pPr>
        <w:ind w:firstLine="560" w:firstLineChars="200"/>
        <w:rPr>
          <w:rFonts w:ascii="仿宋" w:hAnsi="仿宋" w:eastAsia="仿宋"/>
          <w:szCs w:val="28"/>
        </w:rPr>
      </w:pPr>
      <w:r>
        <w:rPr>
          <w:rFonts w:hint="eastAsia" w:ascii="仿宋_GB2312" w:eastAsia="仿宋_GB2312"/>
          <w:szCs w:val="28"/>
        </w:rPr>
        <w:t>用于集中出行、会议用车、考察调研、教学科研（教学用车包括学生下点实习用车）、应急公务等。其中学生下点实习用车目的地包括但不限于以下地点：马鞍山、铜陵、合肥、宣城、池州、安庆、六安、淮南、淮北、滁州、蚌埠、阜阳、阜阳太和、黄山、宁国、巢湖、南京市、南京溧水、常州溧阳、常州市、盐城、淮安、无锡、苏州、宁波、上海、湖州、湖州长兴、台州、嘉兴、徐州、扬州、海宁、昆山、常熟、宜兴、丹阳、武汉、杭州、镇江、句容、歙县、无为。学生下点实习用车多租赁大巴车，最高峰要求车辆57辆。提供各类租赁包车服务的投标单位需符合国家相关规定，学校下属单位要求提供相关资质材料的，投标单位应据实出具。</w:t>
      </w:r>
    </w:p>
    <w:p>
      <w:pPr>
        <w:spacing w:after="156" w:afterLines="50"/>
        <w:ind w:firstLine="562" w:firstLineChars="200"/>
        <w:rPr>
          <w:rFonts w:ascii="仿宋_GB2312" w:eastAsia="仿宋_GB2312"/>
          <w:b/>
          <w:szCs w:val="28"/>
        </w:rPr>
      </w:pPr>
      <w:r>
        <w:rPr>
          <w:rFonts w:hint="eastAsia" w:ascii="仿宋_GB2312" w:eastAsia="仿宋_GB2312"/>
          <w:b/>
          <w:szCs w:val="28"/>
        </w:rPr>
        <w:t>三、报价及说明</w:t>
      </w:r>
    </w:p>
    <w:tbl>
      <w:tblPr>
        <w:tblStyle w:val="20"/>
        <w:tblpPr w:leftFromText="180" w:rightFromText="180" w:vertAnchor="text" w:horzAnchor="margin" w:tblpXSpec="center" w:tblpY="8"/>
        <w:tblW w:w="9300" w:type="dxa"/>
        <w:tblInd w:w="0" w:type="dxa"/>
        <w:tblLayout w:type="autofit"/>
        <w:tblCellMar>
          <w:top w:w="0" w:type="dxa"/>
          <w:left w:w="108" w:type="dxa"/>
          <w:bottom w:w="0" w:type="dxa"/>
          <w:right w:w="108" w:type="dxa"/>
        </w:tblCellMar>
      </w:tblPr>
      <w:tblGrid>
        <w:gridCol w:w="1920"/>
        <w:gridCol w:w="821"/>
        <w:gridCol w:w="821"/>
        <w:gridCol w:w="821"/>
        <w:gridCol w:w="821"/>
        <w:gridCol w:w="931"/>
        <w:gridCol w:w="931"/>
        <w:gridCol w:w="931"/>
        <w:gridCol w:w="931"/>
        <w:gridCol w:w="931"/>
      </w:tblGrid>
      <w:tr>
        <w:tblPrEx>
          <w:tblCellMar>
            <w:top w:w="0" w:type="dxa"/>
            <w:left w:w="108" w:type="dxa"/>
            <w:bottom w:w="0" w:type="dxa"/>
            <w:right w:w="108" w:type="dxa"/>
          </w:tblCellMar>
        </w:tblPrEx>
        <w:trPr>
          <w:trHeight w:val="765" w:hRule="atLeast"/>
        </w:trPr>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车辆类型</w:t>
            </w:r>
          </w:p>
        </w:tc>
        <w:tc>
          <w:tcPr>
            <w:tcW w:w="164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轿车5座</w:t>
            </w:r>
          </w:p>
        </w:tc>
        <w:tc>
          <w:tcPr>
            <w:tcW w:w="164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商务车7座</w:t>
            </w:r>
          </w:p>
        </w:tc>
        <w:tc>
          <w:tcPr>
            <w:tcW w:w="16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中巴</w:t>
            </w:r>
          </w:p>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（9-22座）</w:t>
            </w:r>
          </w:p>
        </w:tc>
        <w:tc>
          <w:tcPr>
            <w:tcW w:w="2460"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大巴</w:t>
            </w:r>
          </w:p>
        </w:tc>
      </w:tr>
      <w:tr>
        <w:tblPrEx>
          <w:tblCellMar>
            <w:top w:w="0" w:type="dxa"/>
            <w:left w:w="108" w:type="dxa"/>
            <w:bottom w:w="0" w:type="dxa"/>
            <w:right w:w="108" w:type="dxa"/>
          </w:tblCellMar>
        </w:tblPrEx>
        <w:trPr>
          <w:trHeight w:val="765" w:hRule="atLeast"/>
        </w:trPr>
        <w:tc>
          <w:tcPr>
            <w:tcW w:w="19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规格</w:t>
            </w:r>
          </w:p>
        </w:tc>
        <w:tc>
          <w:tcPr>
            <w:tcW w:w="820"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18万元以下</w:t>
            </w:r>
          </w:p>
        </w:tc>
        <w:tc>
          <w:tcPr>
            <w:tcW w:w="820"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18万元以上</w:t>
            </w:r>
          </w:p>
        </w:tc>
        <w:tc>
          <w:tcPr>
            <w:tcW w:w="820"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20万以下</w:t>
            </w:r>
          </w:p>
        </w:tc>
        <w:tc>
          <w:tcPr>
            <w:tcW w:w="820"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20万以上</w:t>
            </w:r>
          </w:p>
        </w:tc>
        <w:tc>
          <w:tcPr>
            <w:tcW w:w="820"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自主品牌</w:t>
            </w:r>
          </w:p>
        </w:tc>
        <w:tc>
          <w:tcPr>
            <w:tcW w:w="820"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丰田考斯特</w:t>
            </w:r>
          </w:p>
        </w:tc>
        <w:tc>
          <w:tcPr>
            <w:tcW w:w="820"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23-39座</w:t>
            </w:r>
          </w:p>
        </w:tc>
        <w:tc>
          <w:tcPr>
            <w:tcW w:w="820"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40-51座</w:t>
            </w:r>
          </w:p>
        </w:tc>
        <w:tc>
          <w:tcPr>
            <w:tcW w:w="820"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51座以上</w:t>
            </w:r>
          </w:p>
        </w:tc>
      </w:tr>
      <w:tr>
        <w:tblPrEx>
          <w:tblCellMar>
            <w:top w:w="0" w:type="dxa"/>
            <w:left w:w="108" w:type="dxa"/>
            <w:bottom w:w="0" w:type="dxa"/>
            <w:right w:w="108" w:type="dxa"/>
          </w:tblCellMar>
        </w:tblPrEx>
        <w:trPr>
          <w:trHeight w:val="765" w:hRule="atLeast"/>
        </w:trPr>
        <w:tc>
          <w:tcPr>
            <w:tcW w:w="1920"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合肥</w:t>
            </w:r>
          </w:p>
          <w:p>
            <w:pPr>
              <w:widowControl/>
              <w:adjustRightInd w:val="0"/>
              <w:snapToGrid w:val="0"/>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（含新桥机场）</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704.82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783.13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783.13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861.45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1370.48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1566.27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1566.27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1801.20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1879.52 </w:t>
            </w:r>
          </w:p>
        </w:tc>
      </w:tr>
      <w:tr>
        <w:tblPrEx>
          <w:tblCellMar>
            <w:top w:w="0" w:type="dxa"/>
            <w:left w:w="108" w:type="dxa"/>
            <w:bottom w:w="0" w:type="dxa"/>
            <w:right w:w="108" w:type="dxa"/>
          </w:tblCellMar>
        </w:tblPrEx>
        <w:trPr>
          <w:trHeight w:val="765" w:hRule="atLeast"/>
        </w:trPr>
        <w:tc>
          <w:tcPr>
            <w:tcW w:w="1920"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南京</w:t>
            </w:r>
          </w:p>
          <w:p>
            <w:pPr>
              <w:widowControl/>
              <w:adjustRightInd w:val="0"/>
              <w:snapToGrid w:val="0"/>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禄口机场</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391.57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430.72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469.88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509.04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939.76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1135.54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1135.54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1370.48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1487.95 </w:t>
            </w:r>
          </w:p>
        </w:tc>
      </w:tr>
      <w:tr>
        <w:tblPrEx>
          <w:tblCellMar>
            <w:top w:w="0" w:type="dxa"/>
            <w:left w:w="108" w:type="dxa"/>
            <w:bottom w:w="0" w:type="dxa"/>
            <w:right w:w="108" w:type="dxa"/>
          </w:tblCellMar>
        </w:tblPrEx>
        <w:trPr>
          <w:trHeight w:val="765" w:hRule="atLeast"/>
        </w:trPr>
        <w:tc>
          <w:tcPr>
            <w:tcW w:w="1920"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半日租</w:t>
            </w:r>
          </w:p>
          <w:p>
            <w:pPr>
              <w:widowControl/>
              <w:adjustRightInd w:val="0"/>
              <w:snapToGrid w:val="0"/>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（4小时60公里）</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169.00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208.00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208.00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247.00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325.00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390.00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409.50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481.00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533.00 </w:t>
            </w:r>
          </w:p>
        </w:tc>
      </w:tr>
      <w:tr>
        <w:tblPrEx>
          <w:tblCellMar>
            <w:top w:w="0" w:type="dxa"/>
            <w:left w:w="108" w:type="dxa"/>
            <w:bottom w:w="0" w:type="dxa"/>
            <w:right w:w="108" w:type="dxa"/>
          </w:tblCellMar>
        </w:tblPrEx>
        <w:trPr>
          <w:trHeight w:val="765" w:hRule="atLeast"/>
        </w:trPr>
        <w:tc>
          <w:tcPr>
            <w:tcW w:w="1920"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日租</w:t>
            </w:r>
          </w:p>
          <w:p>
            <w:pPr>
              <w:widowControl/>
              <w:adjustRightInd w:val="0"/>
              <w:snapToGrid w:val="0"/>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（8小时100公里）</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318.50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344.50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383.50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442.00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565.50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643.50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650.00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780.00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910.00 </w:t>
            </w:r>
          </w:p>
        </w:tc>
      </w:tr>
      <w:tr>
        <w:tblPrEx>
          <w:tblCellMar>
            <w:top w:w="0" w:type="dxa"/>
            <w:left w:w="108" w:type="dxa"/>
            <w:bottom w:w="0" w:type="dxa"/>
            <w:right w:w="108" w:type="dxa"/>
          </w:tblCellMar>
        </w:tblPrEx>
        <w:trPr>
          <w:trHeight w:val="765" w:hRule="atLeast"/>
        </w:trPr>
        <w:tc>
          <w:tcPr>
            <w:tcW w:w="1920"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超时费</w:t>
            </w:r>
          </w:p>
          <w:p>
            <w:pPr>
              <w:widowControl/>
              <w:adjustRightInd w:val="0"/>
              <w:snapToGrid w:val="0"/>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（元／小时）</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13.00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13.00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13.00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13.00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19.50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19.50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19.50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19.50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19.50 </w:t>
            </w:r>
          </w:p>
        </w:tc>
      </w:tr>
      <w:tr>
        <w:tblPrEx>
          <w:tblCellMar>
            <w:top w:w="0" w:type="dxa"/>
            <w:left w:w="108" w:type="dxa"/>
            <w:bottom w:w="0" w:type="dxa"/>
            <w:right w:w="108" w:type="dxa"/>
          </w:tblCellMar>
        </w:tblPrEx>
        <w:trPr>
          <w:trHeight w:val="765" w:hRule="atLeast"/>
        </w:trPr>
        <w:tc>
          <w:tcPr>
            <w:tcW w:w="1920"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超公里</w:t>
            </w:r>
          </w:p>
          <w:p>
            <w:pPr>
              <w:widowControl/>
              <w:adjustRightInd w:val="0"/>
              <w:snapToGrid w:val="0"/>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（元／公里）</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1.57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1.95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1.95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2.27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2.90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3.57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3.90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4.55 </w:t>
            </w:r>
          </w:p>
        </w:tc>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cs="宋体"/>
                <w:color w:val="000000"/>
                <w:sz w:val="22"/>
                <w:szCs w:val="22"/>
              </w:rPr>
            </w:pPr>
            <w:r>
              <w:rPr>
                <w:rFonts w:hint="eastAsia"/>
                <w:color w:val="000000"/>
                <w:sz w:val="22"/>
                <w:szCs w:val="22"/>
              </w:rPr>
              <w:t xml:space="preserve">5.20 </w:t>
            </w:r>
          </w:p>
        </w:tc>
      </w:tr>
    </w:tbl>
    <w:p>
      <w:pPr>
        <w:widowControl/>
        <w:shd w:val="clear" w:color="auto" w:fill="FFFFFF"/>
        <w:adjustRightInd w:val="0"/>
        <w:snapToGrid w:val="0"/>
        <w:spacing w:line="440" w:lineRule="exact"/>
        <w:ind w:firstLine="562" w:firstLineChars="200"/>
        <w:rPr>
          <w:rFonts w:ascii="仿宋_GB2312" w:hAnsi="宋体" w:eastAsia="仿宋_GB2312"/>
          <w:b/>
          <w:szCs w:val="28"/>
        </w:rPr>
      </w:pPr>
      <w:r>
        <w:rPr>
          <w:rFonts w:hint="eastAsia" w:ascii="仿宋_GB2312" w:hAnsi="宋体" w:eastAsia="仿宋_GB2312"/>
          <w:b/>
          <w:szCs w:val="28"/>
        </w:rPr>
        <w:t>(一) 报价要求</w:t>
      </w:r>
    </w:p>
    <w:p>
      <w:pPr>
        <w:widowControl/>
        <w:shd w:val="clear" w:color="auto" w:fill="FFFFFF"/>
        <w:adjustRightInd w:val="0"/>
        <w:snapToGrid w:val="0"/>
        <w:spacing w:line="440" w:lineRule="exact"/>
        <w:ind w:firstLine="560" w:firstLineChars="200"/>
        <w:rPr>
          <w:rFonts w:ascii="仿宋_GB2312" w:hAnsi="宋体" w:eastAsia="仿宋_GB2312"/>
          <w:b/>
          <w:szCs w:val="28"/>
        </w:rPr>
      </w:pPr>
      <w:r>
        <w:rPr>
          <w:rFonts w:hint="eastAsia" w:ascii="仿宋_GB2312" w:hAnsi="宋体" w:eastAsia="仿宋_GB2312"/>
          <w:szCs w:val="28"/>
        </w:rPr>
        <w:t>1.</w:t>
      </w:r>
      <w:r>
        <w:rPr>
          <w:rFonts w:hint="eastAsia" w:ascii="仿宋_GB2312" w:hAnsi="宋体" w:eastAsia="仿宋_GB2312"/>
          <w:b/>
          <w:szCs w:val="28"/>
        </w:rPr>
        <w:t>以上价格为各类车型包车服务价格上限，各供应商在以上价格基础上报出折扣率（折扣率≥0）。实际租赁和包车价格≤各类车型租赁和包车服务价格上限*（1-折扣率）。注：折扣率=优惠差价/原价*100%</w:t>
      </w:r>
    </w:p>
    <w:p>
      <w:pPr>
        <w:widowControl/>
        <w:shd w:val="clear" w:color="auto" w:fill="FFFFFF"/>
        <w:adjustRightInd w:val="0"/>
        <w:snapToGrid w:val="0"/>
        <w:spacing w:line="440" w:lineRule="exact"/>
        <w:ind w:firstLine="560" w:firstLineChars="200"/>
        <w:rPr>
          <w:rFonts w:ascii="仿宋_GB2312" w:hAnsi="宋体" w:eastAsia="仿宋_GB2312"/>
          <w:szCs w:val="28"/>
        </w:rPr>
      </w:pPr>
      <w:r>
        <w:rPr>
          <w:rFonts w:hint="eastAsia" w:ascii="仿宋_GB2312" w:hAnsi="宋体" w:eastAsia="仿宋_GB2312"/>
          <w:szCs w:val="28"/>
        </w:rPr>
        <w:t>2.供应商应考虑租赁服务期限内相关报价风险，租赁服务期限内单价不得上涨。租赁服务期限内，遇到一切不可预见的损失及责任由供应商负责。</w:t>
      </w:r>
    </w:p>
    <w:p>
      <w:pPr>
        <w:ind w:firstLine="560" w:firstLineChars="200"/>
        <w:rPr>
          <w:rFonts w:ascii="仿宋_GB2312" w:eastAsia="仿宋_GB2312"/>
          <w:szCs w:val="28"/>
        </w:rPr>
      </w:pPr>
      <w:r>
        <w:rPr>
          <w:rFonts w:hint="eastAsia" w:ascii="仿宋_GB2312" w:eastAsia="仿宋_GB2312"/>
          <w:szCs w:val="28"/>
        </w:rPr>
        <w:t>3.合肥（含新桥机场）、南京禄口机场为车辆使用一天价格含过路过桥费及停车费、驾驶员餐费，驾驶员住宿费另算；其他行程结算=半日租/日租+超时费/超公里费+驾驶员住宿费+过路过桥费及停车费，不再增加税费。</w:t>
      </w:r>
    </w:p>
    <w:p>
      <w:pPr>
        <w:ind w:firstLine="560" w:firstLineChars="200"/>
        <w:rPr>
          <w:rFonts w:ascii="仿宋_GB2312" w:eastAsia="仿宋_GB2312"/>
          <w:szCs w:val="28"/>
        </w:rPr>
      </w:pPr>
      <w:r>
        <w:rPr>
          <w:rFonts w:hint="eastAsia" w:ascii="仿宋_GB2312" w:eastAsia="仿宋_GB2312"/>
          <w:szCs w:val="28"/>
        </w:rPr>
        <w:t>4.超时及超公里价格</w:t>
      </w:r>
    </w:p>
    <w:p>
      <w:pPr>
        <w:ind w:firstLine="560" w:firstLineChars="200"/>
        <w:rPr>
          <w:rFonts w:ascii="仿宋_GB2312" w:eastAsia="仿宋_GB2312"/>
          <w:szCs w:val="28"/>
        </w:rPr>
      </w:pPr>
      <w:r>
        <w:rPr>
          <w:rFonts w:hint="eastAsia" w:ascii="仿宋_GB2312" w:eastAsia="仿宋_GB2312"/>
          <w:szCs w:val="28"/>
        </w:rPr>
        <w:t>（1）市内（含四县四区）用车，既有超时又有超公里数，分别按照超时费和超公里数费结算，再进行累加。4小时至6小时内（含6小时），按半日租加上超时超公里数费用计算；超过半小时（含半小时）且不足一小时按一小时计算。6小时以上按照日租加上超时超公里数费用计算。超时费上线封顶为200元。市内短时短途用车（如芜湖站接站等），可由用车部门与租赁公司协商定价，价格不超过半日租费用。</w:t>
      </w:r>
    </w:p>
    <w:p>
      <w:pPr>
        <w:ind w:firstLine="560" w:firstLineChars="200"/>
        <w:rPr>
          <w:rFonts w:ascii="仿宋_GB2312" w:eastAsia="仿宋_GB2312"/>
          <w:szCs w:val="28"/>
        </w:rPr>
      </w:pPr>
      <w:r>
        <w:rPr>
          <w:rFonts w:hint="eastAsia" w:ascii="仿宋_GB2312" w:eastAsia="仿宋_GB2312"/>
          <w:szCs w:val="28"/>
        </w:rPr>
        <w:t>（2）长途是指四县四区以外的区域，按日租加上超公里数费用计算，长途包车不再另收超时费。</w:t>
      </w:r>
    </w:p>
    <w:p>
      <w:pPr>
        <w:ind w:firstLine="420" w:firstLineChars="150"/>
        <w:rPr>
          <w:rFonts w:ascii="仿宋_GB2312" w:eastAsia="仿宋_GB2312"/>
          <w:szCs w:val="28"/>
        </w:rPr>
      </w:pPr>
      <w:r>
        <w:rPr>
          <w:rFonts w:hint="eastAsia" w:ascii="仿宋_GB2312" w:eastAsia="仿宋_GB2312"/>
          <w:szCs w:val="28"/>
        </w:rPr>
        <w:t>5.驾驶员住宿及餐饮费</w:t>
      </w:r>
    </w:p>
    <w:p>
      <w:pPr>
        <w:ind w:firstLine="560" w:firstLineChars="200"/>
        <w:rPr>
          <w:rFonts w:ascii="仿宋_GB2312" w:eastAsia="仿宋_GB2312"/>
          <w:szCs w:val="28"/>
        </w:rPr>
      </w:pPr>
      <w:r>
        <w:rPr>
          <w:rFonts w:hint="eastAsia" w:ascii="仿宋_GB2312" w:eastAsia="仿宋_GB2312"/>
          <w:szCs w:val="28"/>
        </w:rPr>
        <w:t>驾驶员过夜住宿费按省内200元/天；省外300元/天为上限按实支付；餐饮费由租赁公司负责支付，学校不再另行支付。</w:t>
      </w:r>
    </w:p>
    <w:p>
      <w:pPr>
        <w:ind w:firstLine="420" w:firstLineChars="150"/>
        <w:rPr>
          <w:rFonts w:ascii="仿宋_GB2312" w:eastAsia="仿宋_GB2312"/>
          <w:szCs w:val="28"/>
        </w:rPr>
      </w:pPr>
      <w:r>
        <w:rPr>
          <w:rFonts w:hint="eastAsia" w:ascii="仿宋_GB2312" w:eastAsia="仿宋_GB2312"/>
          <w:szCs w:val="28"/>
        </w:rPr>
        <w:t>6.过路过桥费及停车费的税费</w:t>
      </w:r>
    </w:p>
    <w:p>
      <w:pPr>
        <w:ind w:firstLine="560" w:firstLineChars="200"/>
        <w:rPr>
          <w:rFonts w:ascii="仿宋_GB2312" w:eastAsia="仿宋_GB2312"/>
          <w:szCs w:val="28"/>
        </w:rPr>
      </w:pPr>
      <w:r>
        <w:rPr>
          <w:rFonts w:hint="eastAsia" w:ascii="仿宋_GB2312" w:eastAsia="仿宋_GB2312"/>
          <w:szCs w:val="28"/>
        </w:rPr>
        <w:t>过路过桥费及停车费按实支付，随包车费用一并结算，不再增加税费。</w:t>
      </w:r>
    </w:p>
    <w:p>
      <w:pPr>
        <w:ind w:firstLine="562" w:firstLineChars="200"/>
        <w:rPr>
          <w:rFonts w:ascii="仿宋_GB2312" w:eastAsia="仿宋_GB2312"/>
          <w:b/>
          <w:szCs w:val="28"/>
        </w:rPr>
      </w:pPr>
      <w:r>
        <w:rPr>
          <w:rFonts w:hint="eastAsia" w:ascii="仿宋_GB2312" w:eastAsia="仿宋_GB2312"/>
          <w:b/>
          <w:szCs w:val="28"/>
        </w:rPr>
        <w:t>四、其他要求</w:t>
      </w:r>
    </w:p>
    <w:p>
      <w:pPr>
        <w:ind w:firstLine="420" w:firstLineChars="150"/>
        <w:rPr>
          <w:rFonts w:ascii="仿宋_GB2312" w:eastAsia="仿宋_GB2312"/>
          <w:szCs w:val="28"/>
        </w:rPr>
      </w:pPr>
      <w:r>
        <w:rPr>
          <w:rFonts w:hint="eastAsia" w:ascii="仿宋_GB2312" w:eastAsia="仿宋_GB2312"/>
          <w:szCs w:val="28"/>
        </w:rPr>
        <w:t>（一）成交供应商须拥有自有办公场地的，办公场地为租用的，租用的合同有效期限不少于2年，从事汽车租赁服务的管理人员不少于5人；成交供应商如公司不在芜湖，应在收到中标通知书30日内完成在芜湖市注册分(子)公司以及按照投标文件投入运营相应车辆，订立租赁合同时必须由分（子）公司与总公司共同盖章。</w:t>
      </w:r>
    </w:p>
    <w:p>
      <w:pPr>
        <w:ind w:firstLine="420" w:firstLineChars="150"/>
        <w:rPr>
          <w:rFonts w:ascii="仿宋_GB2312" w:eastAsia="仿宋_GB2312"/>
          <w:szCs w:val="28"/>
        </w:rPr>
      </w:pPr>
      <w:r>
        <w:rPr>
          <w:rFonts w:hint="eastAsia" w:ascii="仿宋_GB2312" w:eastAsia="仿宋_GB2312"/>
          <w:szCs w:val="28"/>
        </w:rPr>
        <w:t>（二）成交供应商须具有健全的安全生产经营制度和措施；驾驶员聘用及培训管理规范，提供包车服务的驾驶员须具有5年以上工作经验，无违法违纪行为；所有提供包车服务的车辆安装卫星定位装置并建立车辆动态监管平台。</w:t>
      </w:r>
    </w:p>
    <w:p>
      <w:pPr>
        <w:ind w:firstLine="420" w:firstLineChars="150"/>
        <w:rPr>
          <w:rFonts w:ascii="仿宋_GB2312" w:eastAsia="仿宋_GB2312"/>
          <w:szCs w:val="28"/>
        </w:rPr>
      </w:pPr>
      <w:r>
        <w:rPr>
          <w:rFonts w:hint="eastAsia" w:ascii="仿宋_GB2312" w:eastAsia="仿宋_GB2312"/>
          <w:szCs w:val="28"/>
        </w:rPr>
        <w:t>（三）提供全天候24小时服务，临时租车市内30分钟以内到达租车单位；供应商承诺设置24小时救援值班电话，建立救援登记制度，保证24小时有人值守；提供应具备应急救援能力。</w:t>
      </w:r>
    </w:p>
    <w:p>
      <w:pPr>
        <w:ind w:firstLine="420" w:firstLineChars="150"/>
        <w:rPr>
          <w:rFonts w:ascii="仿宋_GB2312" w:eastAsia="仿宋_GB2312"/>
          <w:szCs w:val="28"/>
        </w:rPr>
      </w:pPr>
      <w:r>
        <w:rPr>
          <w:rFonts w:hint="eastAsia" w:ascii="仿宋_GB2312" w:eastAsia="仿宋_GB2312"/>
          <w:szCs w:val="28"/>
        </w:rPr>
        <w:t>（四）按GB/T 18344-2001的规定及原车使用说明书规定，定程（时）进行日常维护。</w:t>
      </w:r>
    </w:p>
    <w:p>
      <w:pPr>
        <w:ind w:firstLine="420" w:firstLineChars="150"/>
        <w:rPr>
          <w:rFonts w:ascii="仿宋_GB2312" w:eastAsia="仿宋_GB2312"/>
          <w:szCs w:val="28"/>
        </w:rPr>
      </w:pPr>
      <w:r>
        <w:rPr>
          <w:rFonts w:hint="eastAsia" w:ascii="仿宋_GB2312" w:eastAsia="仿宋_GB2312"/>
          <w:szCs w:val="28"/>
        </w:rPr>
        <w:t>（五）供应商在基本服务质量要求外，应就车辆的卫生保洁、服务创新、服务质量标准化、应急方案、服务监督、重大活动保障等方面提出服务承诺。</w:t>
      </w:r>
    </w:p>
    <w:p>
      <w:pPr>
        <w:ind w:firstLine="420" w:firstLineChars="150"/>
        <w:rPr>
          <w:rFonts w:ascii="仿宋_GB2312" w:eastAsia="仿宋_GB2312"/>
          <w:szCs w:val="28"/>
        </w:rPr>
      </w:pPr>
      <w:r>
        <w:rPr>
          <w:rFonts w:hint="eastAsia" w:ascii="仿宋_GB2312" w:eastAsia="仿宋_GB2312"/>
          <w:szCs w:val="28"/>
        </w:rPr>
        <w:t>（六）租赁服务车辆保险按照国家相关法律规定足额投保，在租赁服务过程中发生的交通事故等一切损失及责任与承租单位或承租人无关，由供应商全权负责。</w:t>
      </w:r>
    </w:p>
    <w:p>
      <w:pPr>
        <w:ind w:firstLine="420" w:firstLineChars="150"/>
        <w:rPr>
          <w:rFonts w:ascii="仿宋_GB2312" w:eastAsia="仿宋_GB2312"/>
          <w:szCs w:val="28"/>
        </w:rPr>
      </w:pPr>
      <w:r>
        <w:rPr>
          <w:rFonts w:hint="eastAsia" w:ascii="仿宋_GB2312" w:eastAsia="仿宋_GB2312"/>
          <w:szCs w:val="28"/>
        </w:rPr>
        <w:t>（七）履约管理。建立健全采购车辆租赁管理档案；车辆租赁运行中接到使用人有效投诉3次以上即给予相应处罚直至取消该公司租赁服务资格。</w:t>
      </w:r>
    </w:p>
    <w:p>
      <w:pPr>
        <w:bidi w:val="0"/>
      </w:pPr>
    </w:p>
    <w:p>
      <w:pPr>
        <w:pStyle w:val="3"/>
        <w:snapToGrid w:val="0"/>
        <w:spacing w:before="0" w:after="0"/>
        <w:ind w:left="0" w:leftChars="0" w:firstLine="0" w:firstLineChars="0"/>
        <w:jc w:val="both"/>
        <w:rPr>
          <w:rFonts w:hint="eastAsia" w:ascii="华文中宋" w:hAnsi="华文中宋" w:eastAsia="华文中宋" w:cs="华文中宋"/>
          <w:color w:val="auto"/>
        </w:rPr>
      </w:pPr>
      <w:bookmarkStart w:id="115" w:name="_Toc52892867"/>
    </w:p>
    <w:p>
      <w:pPr>
        <w:rPr>
          <w:rFonts w:hint="eastAsia" w:ascii="华文中宋" w:hAnsi="华文中宋" w:eastAsia="华文中宋" w:cs="华文中宋"/>
          <w:color w:val="auto"/>
        </w:rPr>
      </w:pPr>
    </w:p>
    <w:p>
      <w:pPr>
        <w:pStyle w:val="2"/>
        <w:rPr>
          <w:rFonts w:hint="eastAsia"/>
        </w:rPr>
      </w:pPr>
    </w:p>
    <w:p>
      <w:pPr>
        <w:pStyle w:val="3"/>
        <w:snapToGrid w:val="0"/>
        <w:spacing w:before="0" w:after="0"/>
        <w:ind w:left="0" w:leftChars="0" w:firstLine="1802" w:firstLineChars="500"/>
        <w:jc w:val="both"/>
        <w:rPr>
          <w:rFonts w:hint="eastAsia" w:ascii="华文中宋" w:hAnsi="华文中宋" w:eastAsia="华文中宋" w:cs="华文中宋"/>
          <w:color w:val="auto"/>
        </w:rPr>
      </w:pPr>
    </w:p>
    <w:p>
      <w:pPr>
        <w:pStyle w:val="2"/>
        <w:rPr>
          <w:rFonts w:hint="eastAsia" w:ascii="华文中宋" w:hAnsi="华文中宋" w:eastAsia="华文中宋" w:cs="华文中宋"/>
          <w:color w:val="auto"/>
        </w:rPr>
      </w:pPr>
    </w:p>
    <w:p>
      <w:pPr>
        <w:pStyle w:val="2"/>
        <w:rPr>
          <w:rFonts w:hint="eastAsia" w:ascii="华文中宋" w:hAnsi="华文中宋" w:eastAsia="华文中宋" w:cs="华文中宋"/>
          <w:color w:val="auto"/>
        </w:rPr>
      </w:pPr>
    </w:p>
    <w:p>
      <w:pPr>
        <w:pStyle w:val="3"/>
        <w:numPr>
          <w:ilvl w:val="0"/>
          <w:numId w:val="2"/>
        </w:numPr>
        <w:snapToGrid w:val="0"/>
        <w:spacing w:before="0" w:after="0"/>
        <w:ind w:left="0" w:leftChars="0" w:firstLine="0" w:firstLineChars="0"/>
        <w:jc w:val="center"/>
        <w:rPr>
          <w:rFonts w:hint="eastAsia" w:ascii="华文中宋" w:hAnsi="华文中宋" w:eastAsia="华文中宋" w:cs="华文中宋"/>
          <w:color w:val="auto"/>
        </w:rPr>
      </w:pPr>
      <w:r>
        <w:rPr>
          <w:rFonts w:hint="eastAsia" w:ascii="华文中宋" w:hAnsi="华文中宋" w:eastAsia="华文中宋" w:cs="华文中宋"/>
          <w:color w:val="auto"/>
        </w:rPr>
        <w:t>评分办法和评分细则</w:t>
      </w:r>
      <w:bookmarkEnd w:id="115"/>
    </w:p>
    <w:p>
      <w:pPr>
        <w:adjustRightInd w:val="0"/>
        <w:snapToGrid w:val="0"/>
        <w:spacing w:line="480" w:lineRule="exact"/>
        <w:rPr>
          <w:rFonts w:hint="eastAsia" w:ascii="宋体" w:hAnsi="宋体"/>
          <w:b/>
          <w:sz w:val="24"/>
        </w:rPr>
      </w:pPr>
      <w:bookmarkStart w:id="116" w:name="_Toc479170305"/>
    </w:p>
    <w:p>
      <w:pPr>
        <w:adjustRightInd w:val="0"/>
        <w:snapToGrid w:val="0"/>
        <w:spacing w:line="480" w:lineRule="exact"/>
        <w:ind w:firstLine="482" w:firstLineChars="200"/>
        <w:rPr>
          <w:rFonts w:ascii="宋体" w:hAnsi="宋体"/>
          <w:b/>
          <w:sz w:val="24"/>
        </w:rPr>
      </w:pPr>
      <w:r>
        <w:rPr>
          <w:rFonts w:hint="eastAsia" w:ascii="宋体" w:hAnsi="宋体"/>
          <w:b/>
          <w:sz w:val="24"/>
        </w:rPr>
        <w:t>一、评分办法：</w:t>
      </w:r>
    </w:p>
    <w:p>
      <w:pPr>
        <w:widowControl/>
        <w:shd w:val="clear" w:color="auto" w:fill="FFFFFF"/>
        <w:spacing w:line="440" w:lineRule="exact"/>
        <w:ind w:firstLine="480" w:firstLineChars="200"/>
        <w:jc w:val="left"/>
        <w:rPr>
          <w:rFonts w:hAnsi="宋体"/>
          <w:sz w:val="24"/>
        </w:rPr>
      </w:pPr>
      <w:r>
        <w:rPr>
          <w:rFonts w:hint="eastAsia" w:hAnsi="宋体"/>
          <w:sz w:val="24"/>
        </w:rPr>
        <w:t>本项目采用百分制综合评分法，</w:t>
      </w:r>
      <w:r>
        <w:rPr>
          <w:rFonts w:hAnsi="宋体"/>
          <w:sz w:val="24"/>
        </w:rPr>
        <w:t>我校将组织评委根据各</w:t>
      </w:r>
      <w:r>
        <w:rPr>
          <w:rFonts w:hint="eastAsia" w:hAnsi="宋体"/>
          <w:sz w:val="24"/>
        </w:rPr>
        <w:t>响应</w:t>
      </w:r>
      <w:r>
        <w:rPr>
          <w:rFonts w:hAnsi="宋体"/>
          <w:sz w:val="24"/>
        </w:rPr>
        <w:t>单位的报价、企业</w:t>
      </w:r>
      <w:r>
        <w:rPr>
          <w:rFonts w:hint="eastAsia" w:hAnsi="宋体"/>
          <w:sz w:val="24"/>
        </w:rPr>
        <w:t>定点服务</w:t>
      </w:r>
      <w:r>
        <w:rPr>
          <w:rFonts w:hAnsi="宋体"/>
          <w:sz w:val="24"/>
        </w:rPr>
        <w:t>业绩、公司</w:t>
      </w:r>
      <w:r>
        <w:rPr>
          <w:rFonts w:hint="eastAsia" w:hAnsi="宋体"/>
          <w:sz w:val="24"/>
        </w:rPr>
        <w:t>人员、车辆安排等方面进行综合打分评定</w:t>
      </w:r>
      <w:r>
        <w:rPr>
          <w:rFonts w:hint="eastAsia" w:ascii="宋体" w:hAnsi="宋体" w:cs="宋体"/>
          <w:kern w:val="0"/>
          <w:sz w:val="24"/>
        </w:rPr>
        <w:t>，</w:t>
      </w:r>
      <w:r>
        <w:rPr>
          <w:rFonts w:hAnsi="宋体"/>
          <w:sz w:val="24"/>
        </w:rPr>
        <w:t>按</w:t>
      </w:r>
      <w:r>
        <w:rPr>
          <w:rFonts w:hint="eastAsia" w:hAnsi="宋体"/>
          <w:sz w:val="24"/>
        </w:rPr>
        <w:t>最终总得分排序选择成交供应商（</w:t>
      </w:r>
      <w:r>
        <w:rPr>
          <w:rFonts w:hAnsi="宋体"/>
          <w:sz w:val="24"/>
        </w:rPr>
        <w:t>若</w:t>
      </w:r>
      <w:r>
        <w:rPr>
          <w:rFonts w:hint="eastAsia" w:hAnsi="宋体"/>
          <w:sz w:val="24"/>
        </w:rPr>
        <w:t>排序过程中有最终总得</w:t>
      </w:r>
      <w:r>
        <w:rPr>
          <w:rFonts w:hAnsi="宋体"/>
          <w:sz w:val="24"/>
        </w:rPr>
        <w:t>分相同</w:t>
      </w:r>
      <w:r>
        <w:rPr>
          <w:rFonts w:hint="eastAsia" w:ascii="宋体" w:hAnsi="宋体"/>
          <w:sz w:val="24"/>
        </w:rPr>
        <w:t>响应单位</w:t>
      </w:r>
      <w:r>
        <w:rPr>
          <w:rFonts w:hAnsi="宋体"/>
          <w:sz w:val="24"/>
        </w:rPr>
        <w:t>，则</w:t>
      </w:r>
      <w:r>
        <w:rPr>
          <w:rFonts w:hint="eastAsia" w:hAnsi="宋体"/>
          <w:sz w:val="24"/>
        </w:rPr>
        <w:t>在总</w:t>
      </w:r>
      <w:r>
        <w:rPr>
          <w:rFonts w:hAnsi="宋体"/>
          <w:sz w:val="24"/>
        </w:rPr>
        <w:t>得分相同的</w:t>
      </w:r>
      <w:r>
        <w:rPr>
          <w:rFonts w:hint="eastAsia" w:ascii="宋体" w:hAnsi="宋体"/>
          <w:sz w:val="24"/>
        </w:rPr>
        <w:t>响应单位</w:t>
      </w:r>
      <w:r>
        <w:rPr>
          <w:rFonts w:hAnsi="宋体"/>
          <w:sz w:val="24"/>
        </w:rPr>
        <w:t>中随机抽取</w:t>
      </w:r>
      <w:r>
        <w:rPr>
          <w:rFonts w:hint="eastAsia" w:hAnsi="宋体"/>
          <w:sz w:val="24"/>
        </w:rPr>
        <w:t>进行排序）</w:t>
      </w:r>
      <w:r>
        <w:rPr>
          <w:rFonts w:hAnsi="宋体"/>
          <w:sz w:val="24"/>
        </w:rPr>
        <w:t>。</w:t>
      </w:r>
    </w:p>
    <w:p>
      <w:pPr>
        <w:adjustRightInd w:val="0"/>
        <w:snapToGrid w:val="0"/>
        <w:spacing w:line="480" w:lineRule="exact"/>
        <w:ind w:firstLine="482" w:firstLineChars="200"/>
        <w:rPr>
          <w:rFonts w:ascii="宋体" w:hAnsi="宋体"/>
          <w:b/>
          <w:sz w:val="24"/>
        </w:rPr>
      </w:pPr>
      <w:r>
        <w:rPr>
          <w:rFonts w:hint="eastAsia" w:ascii="宋体" w:hAnsi="宋体"/>
          <w:b/>
          <w:sz w:val="24"/>
        </w:rPr>
        <w:t>二、评分细则</w:t>
      </w:r>
    </w:p>
    <w:p>
      <w:pPr>
        <w:widowControl/>
        <w:shd w:val="clear" w:color="auto" w:fill="FFFFFF"/>
        <w:spacing w:line="440" w:lineRule="exact"/>
        <w:ind w:firstLine="480" w:firstLineChars="200"/>
        <w:jc w:val="left"/>
        <w:rPr>
          <w:rFonts w:hAnsi="宋体"/>
          <w:sz w:val="24"/>
        </w:rPr>
      </w:pPr>
      <w:r>
        <w:rPr>
          <w:rFonts w:hint="eastAsia" w:hAnsi="宋体"/>
          <w:sz w:val="24"/>
        </w:rPr>
        <w:t>（1）商务分评分标准（总分：30分）</w:t>
      </w:r>
    </w:p>
    <w:tbl>
      <w:tblPr>
        <w:tblStyle w:val="2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991"/>
        <w:gridCol w:w="5719"/>
        <w:gridCol w:w="661"/>
        <w:gridCol w:w="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234" w:type="pct"/>
            <w:vAlign w:val="center"/>
          </w:tcPr>
          <w:p>
            <w:pPr>
              <w:spacing w:line="320" w:lineRule="exact"/>
              <w:jc w:val="center"/>
              <w:rPr>
                <w:sz w:val="24"/>
              </w:rPr>
            </w:pPr>
            <w:r>
              <w:rPr>
                <w:rFonts w:hAnsi="宋体"/>
                <w:sz w:val="24"/>
              </w:rPr>
              <w:t>序号</w:t>
            </w:r>
          </w:p>
        </w:tc>
        <w:tc>
          <w:tcPr>
            <w:tcW w:w="590" w:type="pct"/>
            <w:vAlign w:val="center"/>
          </w:tcPr>
          <w:p>
            <w:pPr>
              <w:spacing w:line="320" w:lineRule="exact"/>
              <w:jc w:val="center"/>
              <w:rPr>
                <w:sz w:val="24"/>
              </w:rPr>
            </w:pPr>
            <w:r>
              <w:rPr>
                <w:rFonts w:hAnsi="宋体"/>
                <w:sz w:val="24"/>
              </w:rPr>
              <w:t>评审项目</w:t>
            </w:r>
          </w:p>
        </w:tc>
        <w:tc>
          <w:tcPr>
            <w:tcW w:w="3363" w:type="pct"/>
            <w:vAlign w:val="center"/>
          </w:tcPr>
          <w:p>
            <w:pPr>
              <w:spacing w:line="320" w:lineRule="exact"/>
              <w:jc w:val="center"/>
              <w:rPr>
                <w:sz w:val="24"/>
              </w:rPr>
            </w:pPr>
            <w:r>
              <w:rPr>
                <w:rFonts w:hAnsi="宋体"/>
                <w:sz w:val="24"/>
              </w:rPr>
              <w:t>评分标准</w:t>
            </w:r>
          </w:p>
        </w:tc>
        <w:tc>
          <w:tcPr>
            <w:tcW w:w="396" w:type="pct"/>
            <w:vAlign w:val="center"/>
          </w:tcPr>
          <w:p>
            <w:pPr>
              <w:spacing w:line="320" w:lineRule="exact"/>
              <w:jc w:val="center"/>
              <w:rPr>
                <w:sz w:val="24"/>
              </w:rPr>
            </w:pPr>
            <w:r>
              <w:rPr>
                <w:rFonts w:hAnsi="宋体"/>
                <w:sz w:val="24"/>
              </w:rPr>
              <w:t>分值</w:t>
            </w:r>
          </w:p>
        </w:tc>
        <w:tc>
          <w:tcPr>
            <w:tcW w:w="414" w:type="pct"/>
            <w:vAlign w:val="center"/>
          </w:tcPr>
          <w:p>
            <w:pPr>
              <w:spacing w:line="320" w:lineRule="exact"/>
              <w:jc w:val="center"/>
              <w:rPr>
                <w:sz w:val="24"/>
              </w:rPr>
            </w:pPr>
            <w:r>
              <w:rPr>
                <w:rFonts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234" w:type="pct"/>
            <w:vAlign w:val="center"/>
          </w:tcPr>
          <w:p>
            <w:pPr>
              <w:spacing w:line="320" w:lineRule="exact"/>
              <w:jc w:val="center"/>
              <w:rPr>
                <w:sz w:val="24"/>
              </w:rPr>
            </w:pPr>
            <w:r>
              <w:rPr>
                <w:rFonts w:hint="eastAsia"/>
                <w:sz w:val="24"/>
              </w:rPr>
              <w:t>1</w:t>
            </w:r>
          </w:p>
        </w:tc>
        <w:tc>
          <w:tcPr>
            <w:tcW w:w="590" w:type="pct"/>
            <w:vAlign w:val="center"/>
          </w:tcPr>
          <w:p>
            <w:pPr>
              <w:spacing w:line="320" w:lineRule="exact"/>
              <w:jc w:val="center"/>
              <w:rPr>
                <w:sz w:val="24"/>
              </w:rPr>
            </w:pPr>
            <w:r>
              <w:rPr>
                <w:rFonts w:hint="eastAsia" w:hAnsi="宋体"/>
                <w:sz w:val="24"/>
              </w:rPr>
              <w:t>折扣率</w:t>
            </w:r>
          </w:p>
        </w:tc>
        <w:tc>
          <w:tcPr>
            <w:tcW w:w="3363" w:type="pct"/>
            <w:vAlign w:val="center"/>
          </w:tcPr>
          <w:p>
            <w:pPr>
              <w:widowControl/>
              <w:shd w:val="clear" w:color="auto" w:fill="FFFFFF"/>
              <w:spacing w:line="440" w:lineRule="exact"/>
              <w:ind w:firstLine="480" w:firstLineChars="200"/>
              <w:jc w:val="left"/>
              <w:rPr>
                <w:rFonts w:hAnsi="宋体"/>
                <w:sz w:val="24"/>
              </w:rPr>
            </w:pPr>
            <w:r>
              <w:rPr>
                <w:rFonts w:hint="eastAsia" w:hAnsi="宋体"/>
                <w:sz w:val="24"/>
              </w:rPr>
              <w:t>在有效报价中折扣率最高的为评审基准价；</w:t>
            </w:r>
          </w:p>
          <w:p>
            <w:pPr>
              <w:widowControl/>
              <w:shd w:val="clear" w:color="auto" w:fill="FFFFFF"/>
              <w:spacing w:line="440" w:lineRule="exact"/>
              <w:ind w:firstLine="480" w:firstLineChars="200"/>
              <w:jc w:val="left"/>
              <w:rPr>
                <w:rFonts w:hAnsi="宋体"/>
                <w:sz w:val="24"/>
              </w:rPr>
            </w:pPr>
            <w:r>
              <w:rPr>
                <w:rFonts w:hint="eastAsia" w:hAnsi="宋体"/>
                <w:sz w:val="24"/>
              </w:rPr>
              <w:t>各单位该项分值=30-（评审基准价-报价）/</w:t>
            </w:r>
            <w:r>
              <w:rPr>
                <w:rFonts w:hint="eastAsia" w:hAnsi="宋体"/>
                <w:sz w:val="24"/>
                <w:lang w:val="en-US" w:eastAsia="zh-CN"/>
              </w:rPr>
              <w:t>3</w:t>
            </w:r>
            <w:r>
              <w:rPr>
                <w:rFonts w:hint="eastAsia" w:hAnsi="宋体"/>
                <w:sz w:val="24"/>
              </w:rPr>
              <w:t>*100</w:t>
            </w:r>
          </w:p>
        </w:tc>
        <w:tc>
          <w:tcPr>
            <w:tcW w:w="396" w:type="pct"/>
            <w:vAlign w:val="center"/>
          </w:tcPr>
          <w:p>
            <w:pPr>
              <w:spacing w:line="320" w:lineRule="exact"/>
              <w:jc w:val="center"/>
              <w:rPr>
                <w:sz w:val="24"/>
              </w:rPr>
            </w:pPr>
            <w:r>
              <w:rPr>
                <w:rFonts w:hint="eastAsia"/>
                <w:sz w:val="24"/>
              </w:rPr>
              <w:t>30</w:t>
            </w:r>
          </w:p>
        </w:tc>
        <w:tc>
          <w:tcPr>
            <w:tcW w:w="414" w:type="pct"/>
            <w:vAlign w:val="center"/>
          </w:tcPr>
          <w:p>
            <w:pPr>
              <w:spacing w:line="320" w:lineRule="exact"/>
              <w:jc w:val="center"/>
              <w:rPr>
                <w:sz w:val="24"/>
              </w:rPr>
            </w:pPr>
          </w:p>
        </w:tc>
      </w:tr>
    </w:tbl>
    <w:p>
      <w:pPr>
        <w:spacing w:after="156" w:afterLines="50" w:line="320" w:lineRule="exact"/>
        <w:ind w:firstLine="480" w:firstLineChars="200"/>
        <w:rPr>
          <w:rFonts w:hAnsi="宋体"/>
          <w:kern w:val="0"/>
          <w:sz w:val="24"/>
        </w:rPr>
      </w:pPr>
    </w:p>
    <w:p>
      <w:pPr>
        <w:spacing w:after="156" w:afterLines="50" w:line="320" w:lineRule="exact"/>
        <w:ind w:firstLine="480" w:firstLineChars="200"/>
        <w:rPr>
          <w:rFonts w:hAnsi="宋体"/>
          <w:kern w:val="0"/>
          <w:sz w:val="24"/>
        </w:rPr>
      </w:pPr>
      <w:r>
        <w:rPr>
          <w:rFonts w:hint="eastAsia" w:hAnsi="宋体"/>
          <w:kern w:val="0"/>
          <w:sz w:val="24"/>
        </w:rPr>
        <w:t>（2）技术分评分标准（总分：70分）</w:t>
      </w:r>
      <w:r>
        <w:rPr>
          <w:rFonts w:hint="eastAsia" w:ascii="宋体" w:hAnsi="宋体" w:cs="宋体"/>
          <w:kern w:val="0"/>
          <w:sz w:val="24"/>
        </w:rPr>
        <w:t>具体标准如下：</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5"/>
        <w:gridCol w:w="807"/>
        <w:gridCol w:w="6197"/>
        <w:gridCol w:w="528"/>
        <w:gridCol w:w="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0" w:type="auto"/>
            <w:vAlign w:val="center"/>
          </w:tcPr>
          <w:p>
            <w:pPr>
              <w:spacing w:line="320" w:lineRule="exact"/>
              <w:jc w:val="center"/>
              <w:rPr>
                <w:sz w:val="24"/>
              </w:rPr>
            </w:pPr>
            <w:r>
              <w:rPr>
                <w:sz w:val="24"/>
              </w:rPr>
              <w:t>序号</w:t>
            </w:r>
          </w:p>
        </w:tc>
        <w:tc>
          <w:tcPr>
            <w:tcW w:w="0" w:type="auto"/>
            <w:vAlign w:val="center"/>
          </w:tcPr>
          <w:p>
            <w:pPr>
              <w:spacing w:line="320" w:lineRule="exact"/>
              <w:jc w:val="center"/>
              <w:rPr>
                <w:sz w:val="24"/>
              </w:rPr>
            </w:pPr>
            <w:r>
              <w:rPr>
                <w:sz w:val="24"/>
              </w:rPr>
              <w:t>评审项目</w:t>
            </w:r>
          </w:p>
        </w:tc>
        <w:tc>
          <w:tcPr>
            <w:tcW w:w="0" w:type="auto"/>
            <w:vAlign w:val="center"/>
          </w:tcPr>
          <w:p>
            <w:pPr>
              <w:spacing w:line="320" w:lineRule="exact"/>
              <w:jc w:val="center"/>
              <w:rPr>
                <w:sz w:val="24"/>
              </w:rPr>
            </w:pPr>
            <w:r>
              <w:rPr>
                <w:sz w:val="24"/>
              </w:rPr>
              <w:t>评分标准</w:t>
            </w:r>
          </w:p>
        </w:tc>
        <w:tc>
          <w:tcPr>
            <w:tcW w:w="0" w:type="auto"/>
            <w:vAlign w:val="center"/>
          </w:tcPr>
          <w:p>
            <w:pPr>
              <w:spacing w:line="320" w:lineRule="exact"/>
              <w:jc w:val="center"/>
              <w:rPr>
                <w:sz w:val="24"/>
              </w:rPr>
            </w:pPr>
            <w:r>
              <w:rPr>
                <w:sz w:val="24"/>
              </w:rPr>
              <w:t>分值</w:t>
            </w:r>
          </w:p>
        </w:tc>
        <w:tc>
          <w:tcPr>
            <w:tcW w:w="0" w:type="auto"/>
            <w:vAlign w:val="center"/>
          </w:tcPr>
          <w:p>
            <w:pPr>
              <w:spacing w:line="320" w:lineRule="exact"/>
              <w:jc w:val="center"/>
              <w:rPr>
                <w:sz w:val="24"/>
              </w:rPr>
            </w:pPr>
            <w:r>
              <w:rPr>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0" w:type="auto"/>
            <w:vAlign w:val="center"/>
          </w:tcPr>
          <w:p>
            <w:pPr>
              <w:adjustRightInd w:val="0"/>
              <w:snapToGrid w:val="0"/>
              <w:jc w:val="center"/>
              <w:rPr>
                <w:szCs w:val="21"/>
              </w:rPr>
            </w:pPr>
            <w:r>
              <w:rPr>
                <w:szCs w:val="21"/>
              </w:rPr>
              <w:t>1</w:t>
            </w:r>
          </w:p>
        </w:tc>
        <w:tc>
          <w:tcPr>
            <w:tcW w:w="0" w:type="auto"/>
            <w:vAlign w:val="center"/>
          </w:tcPr>
          <w:p>
            <w:pPr>
              <w:rPr>
                <w:sz w:val="24"/>
              </w:rPr>
            </w:pPr>
            <w:r>
              <w:rPr>
                <w:sz w:val="24"/>
              </w:rPr>
              <w:t>企业定点</w:t>
            </w:r>
            <w:r>
              <w:rPr>
                <w:rFonts w:hint="eastAsia"/>
                <w:sz w:val="24"/>
              </w:rPr>
              <w:t>服务</w:t>
            </w:r>
            <w:r>
              <w:rPr>
                <w:sz w:val="24"/>
              </w:rPr>
              <w:t>业绩</w:t>
            </w:r>
          </w:p>
        </w:tc>
        <w:tc>
          <w:tcPr>
            <w:tcW w:w="0" w:type="auto"/>
            <w:vAlign w:val="center"/>
          </w:tcPr>
          <w:p>
            <w:pPr>
              <w:widowControl/>
              <w:shd w:val="clear" w:color="auto" w:fill="FFFFFF"/>
              <w:spacing w:line="400" w:lineRule="exact"/>
              <w:jc w:val="left"/>
              <w:rPr>
                <w:sz w:val="24"/>
              </w:rPr>
            </w:pPr>
            <w:r>
              <w:rPr>
                <w:sz w:val="24"/>
              </w:rPr>
              <w:t>自磋商截止之日起上推三年以来</w:t>
            </w:r>
          </w:p>
          <w:p>
            <w:pPr>
              <w:widowControl/>
              <w:shd w:val="clear" w:color="auto" w:fill="FFFFFF"/>
              <w:spacing w:line="400" w:lineRule="exact"/>
              <w:ind w:firstLine="480" w:firstLineChars="200"/>
              <w:jc w:val="left"/>
              <w:rPr>
                <w:sz w:val="24"/>
              </w:rPr>
            </w:pPr>
            <w:r>
              <w:rPr>
                <w:rFonts w:hAnsi="宋体"/>
                <w:sz w:val="24"/>
              </w:rPr>
              <w:t>响应单位</w:t>
            </w:r>
            <w:r>
              <w:rPr>
                <w:sz w:val="24"/>
              </w:rPr>
              <w:t>与高校签订的合同期不少于1年（含1年）的定点</w:t>
            </w:r>
            <w:r>
              <w:rPr>
                <w:rFonts w:hint="eastAsia"/>
                <w:sz w:val="24"/>
              </w:rPr>
              <w:t>服务</w:t>
            </w:r>
            <w:r>
              <w:rPr>
                <w:sz w:val="24"/>
              </w:rPr>
              <w:t>合同每一份得</w:t>
            </w:r>
            <w:r>
              <w:rPr>
                <w:rFonts w:hint="eastAsia"/>
                <w:sz w:val="24"/>
              </w:rPr>
              <w:t>2</w:t>
            </w:r>
            <w:r>
              <w:rPr>
                <w:sz w:val="24"/>
              </w:rPr>
              <w:t>分，与其他事业单位或国有企业签订的合同期不少于1年（含1年）的定点</w:t>
            </w:r>
            <w:r>
              <w:rPr>
                <w:rFonts w:hint="eastAsia"/>
                <w:sz w:val="24"/>
              </w:rPr>
              <w:t>服务</w:t>
            </w:r>
            <w:r>
              <w:rPr>
                <w:sz w:val="24"/>
              </w:rPr>
              <w:t>合同每一份得</w:t>
            </w:r>
            <w:r>
              <w:rPr>
                <w:rFonts w:hint="eastAsia"/>
                <w:sz w:val="24"/>
              </w:rPr>
              <w:t>1</w:t>
            </w:r>
            <w:r>
              <w:rPr>
                <w:sz w:val="24"/>
              </w:rPr>
              <w:t>分</w:t>
            </w:r>
            <w:r>
              <w:rPr>
                <w:rFonts w:hint="eastAsia"/>
                <w:sz w:val="24"/>
              </w:rPr>
              <w:t>，最高不超过10分</w:t>
            </w:r>
            <w:r>
              <w:rPr>
                <w:sz w:val="24"/>
              </w:rPr>
              <w:t>。</w:t>
            </w:r>
          </w:p>
          <w:p>
            <w:pPr>
              <w:widowControl/>
              <w:shd w:val="clear" w:color="auto" w:fill="FFFFFF"/>
              <w:spacing w:line="400" w:lineRule="exact"/>
              <w:ind w:firstLine="480" w:firstLineChars="200"/>
              <w:jc w:val="left"/>
              <w:rPr>
                <w:sz w:val="24"/>
              </w:rPr>
            </w:pPr>
            <w:r>
              <w:rPr>
                <w:sz w:val="24"/>
              </w:rPr>
              <w:t>以评审现场查验合同原件为准，加盖公章的复印件编入响应文件，同一单位不同年份的多份合同算一份（未提供合同原件不得分）。</w:t>
            </w:r>
          </w:p>
        </w:tc>
        <w:tc>
          <w:tcPr>
            <w:tcW w:w="0" w:type="auto"/>
            <w:vAlign w:val="center"/>
          </w:tcPr>
          <w:p>
            <w:pPr>
              <w:adjustRightInd w:val="0"/>
              <w:snapToGrid w:val="0"/>
              <w:jc w:val="center"/>
              <w:rPr>
                <w:szCs w:val="21"/>
              </w:rPr>
            </w:pPr>
            <w:r>
              <w:rPr>
                <w:rFonts w:hint="eastAsia"/>
                <w:szCs w:val="21"/>
              </w:rPr>
              <w:t>10</w:t>
            </w:r>
          </w:p>
        </w:tc>
        <w:tc>
          <w:tcPr>
            <w:tcW w:w="0" w:type="auto"/>
            <w:vAlign w:val="center"/>
          </w:tcPr>
          <w:p>
            <w:pPr>
              <w:adjustRightInd w:val="0"/>
              <w:snapToGrid w:val="0"/>
              <w:spacing w:line="4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0" w:type="auto"/>
            <w:vAlign w:val="center"/>
          </w:tcPr>
          <w:p>
            <w:pPr>
              <w:jc w:val="center"/>
              <w:rPr>
                <w:sz w:val="24"/>
              </w:rPr>
            </w:pPr>
            <w:r>
              <w:rPr>
                <w:sz w:val="24"/>
              </w:rPr>
              <w:t>2</w:t>
            </w:r>
          </w:p>
        </w:tc>
        <w:tc>
          <w:tcPr>
            <w:tcW w:w="0" w:type="auto"/>
            <w:vAlign w:val="center"/>
          </w:tcPr>
          <w:p>
            <w:pPr>
              <w:jc w:val="center"/>
              <w:rPr>
                <w:sz w:val="24"/>
              </w:rPr>
            </w:pPr>
            <w:r>
              <w:rPr>
                <w:sz w:val="24"/>
              </w:rPr>
              <w:t>人员安排</w:t>
            </w:r>
          </w:p>
        </w:tc>
        <w:tc>
          <w:tcPr>
            <w:tcW w:w="0" w:type="auto"/>
            <w:vAlign w:val="center"/>
          </w:tcPr>
          <w:p>
            <w:pPr>
              <w:widowControl/>
              <w:shd w:val="clear" w:color="auto" w:fill="FFFFFF"/>
              <w:spacing w:line="400" w:lineRule="exact"/>
              <w:ind w:firstLine="480" w:firstLineChars="200"/>
              <w:rPr>
                <w:sz w:val="24"/>
              </w:rPr>
            </w:pPr>
            <w:r>
              <w:rPr>
                <w:rFonts w:hint="eastAsia"/>
                <w:sz w:val="24"/>
              </w:rPr>
              <w:t>1、专职人员配备要求：</w:t>
            </w:r>
          </w:p>
          <w:p>
            <w:pPr>
              <w:widowControl/>
              <w:shd w:val="clear" w:color="auto" w:fill="FFFFFF"/>
              <w:spacing w:line="400" w:lineRule="exact"/>
              <w:ind w:firstLine="480" w:firstLineChars="200"/>
              <w:rPr>
                <w:sz w:val="24"/>
              </w:rPr>
            </w:pPr>
            <w:r>
              <w:rPr>
                <w:rFonts w:hint="eastAsia"/>
                <w:sz w:val="24"/>
              </w:rPr>
              <w:t>从事汽车租赁服务的管理人员：不低于5人，专职司机：不低于5人。专职司机均需具备5年以上的驾龄，未造成过重大交通事故。人员数量如达不到如上要求，则本项不得分。</w:t>
            </w:r>
          </w:p>
          <w:p>
            <w:pPr>
              <w:widowControl/>
              <w:shd w:val="clear" w:color="auto" w:fill="FFFFFF"/>
              <w:spacing w:line="400" w:lineRule="exact"/>
              <w:ind w:firstLine="480" w:firstLineChars="200"/>
              <w:rPr>
                <w:sz w:val="24"/>
              </w:rPr>
            </w:pPr>
            <w:r>
              <w:rPr>
                <w:rFonts w:hint="eastAsia"/>
                <w:sz w:val="24"/>
              </w:rPr>
              <w:t>2、专职司机数量5分：专职司机达到5人开始计分，超过5人，每增加1人加1分，最高加5分。</w:t>
            </w:r>
          </w:p>
          <w:p>
            <w:pPr>
              <w:widowControl/>
              <w:shd w:val="clear" w:color="auto" w:fill="FFFFFF"/>
              <w:spacing w:line="400" w:lineRule="exact"/>
              <w:ind w:firstLine="480" w:firstLineChars="200"/>
              <w:rPr>
                <w:sz w:val="24"/>
              </w:rPr>
            </w:pPr>
            <w:r>
              <w:rPr>
                <w:rFonts w:hint="eastAsia"/>
                <w:sz w:val="24"/>
              </w:rPr>
              <w:t>3、专职司机技术水平情况15分：专职司机需全部具备C1及以上驾驶证。专职司机中具有B1及以上驾驶证（且未接受过驾照降级处理）的，每有1人，加1分，加满5分为止；专职司机中具有A1驾驶证（且未接受过驾照降级处理）的，每有1人加2分，加满10分为止。本项加分按就高原则，如某司机为A1驾驶证，得2分，B1及以上驾驶证部分不重复加分。</w:t>
            </w:r>
          </w:p>
          <w:p>
            <w:pPr>
              <w:widowControl/>
              <w:shd w:val="clear" w:color="auto" w:fill="FFFFFF"/>
              <w:spacing w:line="400" w:lineRule="exact"/>
              <w:ind w:firstLine="480" w:firstLineChars="200"/>
              <w:rPr>
                <w:sz w:val="24"/>
              </w:rPr>
            </w:pPr>
            <w:r>
              <w:rPr>
                <w:sz w:val="24"/>
              </w:rPr>
              <w:t>拟派往</w:t>
            </w:r>
            <w:r>
              <w:rPr>
                <w:rFonts w:hint="eastAsia"/>
                <w:sz w:val="24"/>
              </w:rPr>
              <w:t>皖南医学院的</w:t>
            </w:r>
            <w:r>
              <w:rPr>
                <w:sz w:val="24"/>
              </w:rPr>
              <w:t>专职人员必须与本单位（驻芜分公司）签订了1年及以上劳动合同的、有社保证明</w:t>
            </w:r>
            <w:r>
              <w:rPr>
                <w:rFonts w:hint="eastAsia"/>
                <w:sz w:val="24"/>
              </w:rPr>
              <w:t>。</w:t>
            </w:r>
          </w:p>
          <w:p>
            <w:pPr>
              <w:widowControl/>
              <w:shd w:val="clear" w:color="auto" w:fill="FFFFFF"/>
              <w:spacing w:line="400" w:lineRule="exact"/>
              <w:ind w:firstLine="480" w:firstLineChars="200"/>
              <w:rPr>
                <w:sz w:val="24"/>
              </w:rPr>
            </w:pPr>
            <w:r>
              <w:rPr>
                <w:rFonts w:hint="eastAsia"/>
                <w:sz w:val="24"/>
              </w:rPr>
              <w:t>以上人员需在资料中提供真实姓名、驾驶证复印件以及未造成过重大交通事故的说明等。</w:t>
            </w:r>
          </w:p>
          <w:p>
            <w:pPr>
              <w:widowControl/>
              <w:shd w:val="clear" w:color="auto" w:fill="FFFFFF"/>
              <w:spacing w:line="400" w:lineRule="exact"/>
              <w:ind w:firstLine="480" w:firstLineChars="200"/>
              <w:rPr>
                <w:sz w:val="24"/>
              </w:rPr>
            </w:pPr>
            <w:r>
              <w:rPr>
                <w:sz w:val="24"/>
              </w:rPr>
              <w:t>以上人员需提供劳动合同原件和响应单位为其缴纳的近半年社保证明材料, 社保证明材料须加盖社保中心章或社保中心参保缴费证明电子专用章复印件加盖响应单位公章</w:t>
            </w:r>
            <w:r>
              <w:rPr>
                <w:rFonts w:hint="eastAsia"/>
                <w:sz w:val="24"/>
              </w:rPr>
              <w:t>。</w:t>
            </w:r>
          </w:p>
        </w:tc>
        <w:tc>
          <w:tcPr>
            <w:tcW w:w="0" w:type="auto"/>
            <w:vAlign w:val="center"/>
          </w:tcPr>
          <w:p>
            <w:pPr>
              <w:jc w:val="center"/>
              <w:rPr>
                <w:sz w:val="24"/>
              </w:rPr>
            </w:pPr>
            <w:r>
              <w:rPr>
                <w:rFonts w:hint="eastAsia"/>
                <w:sz w:val="24"/>
              </w:rPr>
              <w:t>20</w:t>
            </w:r>
          </w:p>
        </w:tc>
        <w:tc>
          <w:tcPr>
            <w:tcW w:w="0" w:type="auto"/>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0" w:type="auto"/>
            <w:vAlign w:val="center"/>
          </w:tcPr>
          <w:p>
            <w:pPr>
              <w:jc w:val="center"/>
              <w:rPr>
                <w:sz w:val="24"/>
              </w:rPr>
            </w:pPr>
            <w:r>
              <w:rPr>
                <w:sz w:val="24"/>
              </w:rPr>
              <w:t>3</w:t>
            </w:r>
          </w:p>
        </w:tc>
        <w:tc>
          <w:tcPr>
            <w:tcW w:w="0" w:type="auto"/>
            <w:vAlign w:val="center"/>
          </w:tcPr>
          <w:p>
            <w:pPr>
              <w:jc w:val="center"/>
              <w:rPr>
                <w:sz w:val="24"/>
              </w:rPr>
            </w:pPr>
            <w:r>
              <w:rPr>
                <w:rFonts w:hint="eastAsia"/>
                <w:sz w:val="24"/>
              </w:rPr>
              <w:t>车辆安排</w:t>
            </w:r>
          </w:p>
        </w:tc>
        <w:tc>
          <w:tcPr>
            <w:tcW w:w="0" w:type="auto"/>
            <w:vAlign w:val="center"/>
          </w:tcPr>
          <w:p>
            <w:pPr>
              <w:widowControl/>
              <w:shd w:val="clear" w:color="auto" w:fill="FFFFFF"/>
              <w:spacing w:line="400" w:lineRule="exact"/>
              <w:ind w:firstLine="480" w:firstLineChars="200"/>
              <w:rPr>
                <w:sz w:val="24"/>
              </w:rPr>
            </w:pPr>
            <w:r>
              <w:rPr>
                <w:rFonts w:hint="eastAsia"/>
                <w:sz w:val="24"/>
              </w:rPr>
              <w:t>1、车辆配备要求：</w:t>
            </w:r>
          </w:p>
          <w:p>
            <w:pPr>
              <w:widowControl/>
              <w:shd w:val="clear" w:color="auto" w:fill="FFFFFF"/>
              <w:spacing w:line="400" w:lineRule="exact"/>
              <w:ind w:firstLine="480" w:firstLineChars="200"/>
              <w:rPr>
                <w:sz w:val="24"/>
              </w:rPr>
            </w:pPr>
            <w:r>
              <w:rPr>
                <w:rFonts w:hint="eastAsia"/>
                <w:sz w:val="24"/>
              </w:rPr>
              <w:t>自有车辆不少于40辆(提供40辆车的机动车行驶证复印件)。车型符合公务出行需要。车辆数量如达不到如上要求，则本项不得分。</w:t>
            </w:r>
          </w:p>
          <w:p>
            <w:pPr>
              <w:widowControl/>
              <w:shd w:val="clear" w:color="auto" w:fill="FFFFFF"/>
              <w:spacing w:line="400" w:lineRule="exact"/>
              <w:ind w:firstLine="480" w:firstLineChars="200"/>
              <w:rPr>
                <w:sz w:val="24"/>
              </w:rPr>
            </w:pPr>
            <w:r>
              <w:rPr>
                <w:rFonts w:hint="eastAsia"/>
                <w:sz w:val="24"/>
              </w:rPr>
              <w:t>2、车辆数量6分：自有车辆达到40辆的开始计分，每多增加1辆轿车加1分，多增加1辆非轿车（商务车、中巴和大巴）加2分。本项加满6分为止。</w:t>
            </w:r>
          </w:p>
          <w:p>
            <w:pPr>
              <w:widowControl/>
              <w:shd w:val="clear" w:color="auto" w:fill="FFFFFF"/>
              <w:spacing w:line="400" w:lineRule="exact"/>
              <w:ind w:firstLine="480" w:firstLineChars="200"/>
              <w:rPr>
                <w:sz w:val="24"/>
              </w:rPr>
            </w:pPr>
            <w:r>
              <w:rPr>
                <w:rFonts w:hint="eastAsia"/>
                <w:sz w:val="24"/>
              </w:rPr>
              <w:t>3、车辆情况20分：自有车辆中购置年限在5年以内的，每1辆加1分，加满10分为止；车辆公里数低于6万公里的，每1辆加1分，加满10分为止。</w:t>
            </w:r>
          </w:p>
          <w:p>
            <w:pPr>
              <w:widowControl/>
              <w:shd w:val="clear" w:color="auto" w:fill="FFFFFF"/>
              <w:spacing w:line="400" w:lineRule="exact"/>
              <w:ind w:firstLine="480" w:firstLineChars="200"/>
              <w:rPr>
                <w:sz w:val="24"/>
              </w:rPr>
            </w:pPr>
            <w:r>
              <w:rPr>
                <w:rFonts w:hint="eastAsia"/>
                <w:sz w:val="24"/>
              </w:rPr>
              <w:t>以上车辆均需提供车辆行驶证复印件及可清晰辨别的仪表盘全景照片，并加盖相应单位公章。</w:t>
            </w:r>
          </w:p>
        </w:tc>
        <w:tc>
          <w:tcPr>
            <w:tcW w:w="0" w:type="auto"/>
            <w:vAlign w:val="center"/>
          </w:tcPr>
          <w:p>
            <w:pPr>
              <w:jc w:val="center"/>
              <w:rPr>
                <w:sz w:val="24"/>
              </w:rPr>
            </w:pPr>
            <w:r>
              <w:rPr>
                <w:rFonts w:hint="eastAsia"/>
                <w:sz w:val="24"/>
              </w:rPr>
              <w:t>26</w:t>
            </w:r>
          </w:p>
        </w:tc>
        <w:tc>
          <w:tcPr>
            <w:tcW w:w="0" w:type="auto"/>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0" w:type="auto"/>
            <w:vAlign w:val="center"/>
          </w:tcPr>
          <w:p>
            <w:pPr>
              <w:jc w:val="center"/>
              <w:rPr>
                <w:sz w:val="24"/>
              </w:rPr>
            </w:pPr>
            <w:r>
              <w:rPr>
                <w:sz w:val="24"/>
              </w:rPr>
              <w:t>4</w:t>
            </w:r>
          </w:p>
        </w:tc>
        <w:tc>
          <w:tcPr>
            <w:tcW w:w="0" w:type="auto"/>
            <w:vAlign w:val="center"/>
          </w:tcPr>
          <w:p>
            <w:pPr>
              <w:jc w:val="center"/>
              <w:rPr>
                <w:sz w:val="24"/>
              </w:rPr>
            </w:pPr>
            <w:r>
              <w:rPr>
                <w:rFonts w:hint="eastAsia"/>
                <w:sz w:val="24"/>
              </w:rPr>
              <w:t>服务机构</w:t>
            </w:r>
          </w:p>
        </w:tc>
        <w:tc>
          <w:tcPr>
            <w:tcW w:w="0" w:type="auto"/>
            <w:vAlign w:val="center"/>
          </w:tcPr>
          <w:p>
            <w:pPr>
              <w:widowControl/>
              <w:shd w:val="clear" w:color="auto" w:fill="FFFFFF"/>
              <w:spacing w:line="400" w:lineRule="exact"/>
              <w:ind w:firstLine="480" w:firstLineChars="200"/>
              <w:rPr>
                <w:sz w:val="24"/>
              </w:rPr>
            </w:pPr>
            <w:r>
              <w:rPr>
                <w:rFonts w:hint="eastAsia"/>
                <w:sz w:val="24"/>
              </w:rPr>
              <w:t>已在芜湖市范围内设立具有独立法人资格的机构的得5分；已在芜湖市范围内仅设立分公司的得2分；取得成交资格后方在芜湖市设立分支机构的本项不得分。</w:t>
            </w:r>
          </w:p>
          <w:p>
            <w:pPr>
              <w:widowControl/>
              <w:shd w:val="clear" w:color="auto" w:fill="FFFFFF"/>
              <w:spacing w:line="400" w:lineRule="exact"/>
              <w:ind w:firstLine="480" w:firstLineChars="200"/>
              <w:rPr>
                <w:sz w:val="24"/>
              </w:rPr>
            </w:pPr>
            <w:r>
              <w:rPr>
                <w:rFonts w:hint="eastAsia"/>
                <w:sz w:val="24"/>
              </w:rPr>
              <w:t>注：需提供营业执照复印件或扫描件加盖投标人公章。</w:t>
            </w:r>
          </w:p>
        </w:tc>
        <w:tc>
          <w:tcPr>
            <w:tcW w:w="0" w:type="auto"/>
            <w:vAlign w:val="center"/>
          </w:tcPr>
          <w:p>
            <w:pPr>
              <w:jc w:val="center"/>
              <w:rPr>
                <w:sz w:val="24"/>
              </w:rPr>
            </w:pPr>
            <w:r>
              <w:rPr>
                <w:rFonts w:hint="eastAsia"/>
                <w:sz w:val="24"/>
              </w:rPr>
              <w:t>5</w:t>
            </w:r>
          </w:p>
        </w:tc>
        <w:tc>
          <w:tcPr>
            <w:tcW w:w="0" w:type="auto"/>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0" w:type="auto"/>
            <w:vAlign w:val="center"/>
          </w:tcPr>
          <w:p>
            <w:pPr>
              <w:jc w:val="center"/>
              <w:rPr>
                <w:sz w:val="24"/>
              </w:rPr>
            </w:pPr>
            <w:r>
              <w:rPr>
                <w:rFonts w:hint="eastAsia"/>
                <w:sz w:val="24"/>
              </w:rPr>
              <w:t>5</w:t>
            </w:r>
          </w:p>
        </w:tc>
        <w:tc>
          <w:tcPr>
            <w:tcW w:w="0" w:type="auto"/>
            <w:vAlign w:val="center"/>
          </w:tcPr>
          <w:p>
            <w:pPr>
              <w:jc w:val="center"/>
              <w:rPr>
                <w:sz w:val="24"/>
              </w:rPr>
            </w:pPr>
            <w:r>
              <w:rPr>
                <w:sz w:val="24"/>
              </w:rPr>
              <w:t>提供的其他条件或措施</w:t>
            </w:r>
          </w:p>
        </w:tc>
        <w:tc>
          <w:tcPr>
            <w:tcW w:w="0" w:type="auto"/>
            <w:vAlign w:val="center"/>
          </w:tcPr>
          <w:p>
            <w:pPr>
              <w:widowControl/>
              <w:shd w:val="clear" w:color="auto" w:fill="FFFFFF"/>
              <w:spacing w:line="400" w:lineRule="exact"/>
              <w:ind w:firstLine="480" w:firstLineChars="200"/>
              <w:jc w:val="left"/>
              <w:rPr>
                <w:sz w:val="24"/>
              </w:rPr>
            </w:pPr>
            <w:r>
              <w:rPr>
                <w:rFonts w:hAnsi="宋体"/>
                <w:sz w:val="24"/>
              </w:rPr>
              <w:t>响应单位</w:t>
            </w:r>
            <w:r>
              <w:rPr>
                <w:sz w:val="24"/>
              </w:rPr>
              <w:t>提供的有利于</w:t>
            </w:r>
            <w:r>
              <w:rPr>
                <w:rFonts w:hint="eastAsia"/>
                <w:sz w:val="24"/>
              </w:rPr>
              <w:t>采购人节约资金</w:t>
            </w:r>
            <w:r>
              <w:rPr>
                <w:sz w:val="24"/>
              </w:rPr>
              <w:t>，提高</w:t>
            </w:r>
            <w:r>
              <w:rPr>
                <w:rFonts w:hint="eastAsia"/>
                <w:sz w:val="24"/>
              </w:rPr>
              <w:t>服务质量</w:t>
            </w:r>
            <w:r>
              <w:rPr>
                <w:sz w:val="24"/>
              </w:rPr>
              <w:t>的条件或措施。</w:t>
            </w:r>
          </w:p>
          <w:p>
            <w:pPr>
              <w:widowControl/>
              <w:shd w:val="clear" w:color="auto" w:fill="FFFFFF"/>
              <w:spacing w:line="400" w:lineRule="exact"/>
              <w:ind w:firstLine="480" w:firstLineChars="200"/>
              <w:jc w:val="left"/>
              <w:rPr>
                <w:sz w:val="24"/>
              </w:rPr>
            </w:pPr>
            <w:r>
              <w:rPr>
                <w:sz w:val="24"/>
              </w:rPr>
              <w:t>专家综合评审酌情打分，本项最多得分</w:t>
            </w:r>
            <w:r>
              <w:rPr>
                <w:rFonts w:hint="eastAsia"/>
                <w:sz w:val="24"/>
              </w:rPr>
              <w:t>9</w:t>
            </w:r>
            <w:r>
              <w:rPr>
                <w:sz w:val="24"/>
              </w:rPr>
              <w:t>分。</w:t>
            </w:r>
          </w:p>
        </w:tc>
        <w:tc>
          <w:tcPr>
            <w:tcW w:w="0" w:type="auto"/>
            <w:vAlign w:val="center"/>
          </w:tcPr>
          <w:p>
            <w:pPr>
              <w:ind w:left="-330" w:leftChars="-118" w:firstLine="247" w:firstLineChars="103"/>
              <w:jc w:val="center"/>
              <w:rPr>
                <w:sz w:val="24"/>
              </w:rPr>
            </w:pPr>
            <w:r>
              <w:rPr>
                <w:rFonts w:hint="eastAsia"/>
                <w:sz w:val="24"/>
              </w:rPr>
              <w:t>9</w:t>
            </w:r>
          </w:p>
        </w:tc>
        <w:tc>
          <w:tcPr>
            <w:tcW w:w="0" w:type="auto"/>
            <w:vAlign w:val="center"/>
          </w:tcPr>
          <w:p>
            <w:pPr>
              <w:spacing w:line="320" w:lineRule="exact"/>
              <w:rPr>
                <w:sz w:val="24"/>
              </w:rPr>
            </w:pPr>
          </w:p>
        </w:tc>
      </w:tr>
      <w:bookmarkEnd w:id="116"/>
    </w:tbl>
    <w:p>
      <w:pPr>
        <w:pStyle w:val="3"/>
        <w:jc w:val="center"/>
      </w:pPr>
    </w:p>
    <w:p>
      <w:pPr>
        <w:numPr>
          <w:ilvl w:val="0"/>
          <w:numId w:val="0"/>
        </w:numPr>
        <w:ind w:leftChars="0"/>
      </w:pPr>
    </w:p>
    <w:p>
      <w:pPr>
        <w:adjustRightInd w:val="0"/>
        <w:snapToGrid w:val="0"/>
        <w:spacing w:line="340" w:lineRule="exact"/>
        <w:rPr>
          <w:rFonts w:hint="eastAsia" w:ascii="仿宋_GB2312" w:hAnsi="仿宋_GB2312" w:eastAsia="仿宋_GB2312" w:cs="仿宋_GB2312"/>
          <w:sz w:val="24"/>
        </w:rPr>
      </w:pPr>
    </w:p>
    <w:p>
      <w:pPr>
        <w:adjustRightInd w:val="0"/>
        <w:snapToGrid w:val="0"/>
        <w:spacing w:line="360" w:lineRule="auto"/>
        <w:ind w:firstLine="560" w:firstLineChars="200"/>
        <w:jc w:val="left"/>
        <w:rPr>
          <w:rFonts w:hint="eastAsia"/>
        </w:rPr>
      </w:pPr>
      <w:bookmarkStart w:id="117" w:name="_Toc52892868"/>
    </w:p>
    <w:p>
      <w:pPr>
        <w:pStyle w:val="27"/>
        <w:ind w:left="0" w:leftChars="0" w:firstLine="0" w:firstLineChars="0"/>
        <w:jc w:val="center"/>
        <w:rPr>
          <w:sz w:val="44"/>
          <w:szCs w:val="44"/>
        </w:rPr>
      </w:pPr>
      <w:r>
        <w:rPr>
          <w:rFonts w:hint="eastAsia"/>
          <w:sz w:val="44"/>
          <w:szCs w:val="44"/>
        </w:rPr>
        <w:t xml:space="preserve">第七章  </w:t>
      </w:r>
      <w:bookmarkStart w:id="118" w:name="_Toc403987220"/>
      <w:r>
        <w:rPr>
          <w:rFonts w:hint="eastAsia"/>
          <w:sz w:val="44"/>
          <w:szCs w:val="44"/>
        </w:rPr>
        <w:t>响应文件格式</w:t>
      </w:r>
      <w:bookmarkEnd w:id="117"/>
      <w:bookmarkEnd w:id="118"/>
    </w:p>
    <w:p>
      <w:pPr>
        <w:jc w:val="center"/>
        <w:rPr>
          <w:rFonts w:hAnsi="宋体"/>
          <w:b/>
          <w:sz w:val="72"/>
        </w:rPr>
      </w:pPr>
      <w:bookmarkStart w:id="119" w:name="_Hlt26671244"/>
      <w:bookmarkEnd w:id="119"/>
      <w:bookmarkStart w:id="120" w:name="_Hlt26955039"/>
      <w:bookmarkEnd w:id="120"/>
      <w:bookmarkStart w:id="121" w:name="_Toc120614282"/>
      <w:bookmarkStart w:id="122" w:name="_Toc26554094"/>
      <w:bookmarkStart w:id="123" w:name="_Toc49090576"/>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21"/>
    <w:bookmarkEnd w:id="122"/>
    <w:bookmarkEnd w:id="123"/>
    <w:p>
      <w:pPr>
        <w:rPr>
          <w:rFonts w:hAnsi="宋体"/>
          <w:b/>
          <w:sz w:val="30"/>
          <w:szCs w:val="30"/>
        </w:rPr>
      </w:pPr>
      <w:r>
        <w:rPr>
          <w:rFonts w:hint="eastAsia" w:hAnsi="宋体"/>
          <w:b/>
          <w:sz w:val="30"/>
          <w:szCs w:val="30"/>
        </w:rPr>
        <w:t xml:space="preserve"> </w:t>
      </w:r>
    </w:p>
    <w:p>
      <w:pPr>
        <w:spacing w:line="440" w:lineRule="exact"/>
        <w:jc w:val="center"/>
        <w:rPr>
          <w:rFonts w:ascii="仿宋_GB2312" w:hAnsi="仿宋_GB2312" w:eastAsia="仿宋_GB2312" w:cs="仿宋_GB2312"/>
          <w:b/>
          <w:bCs/>
          <w:sz w:val="32"/>
          <w:szCs w:val="32"/>
        </w:rPr>
      </w:pPr>
      <w:r>
        <w:rPr>
          <w:rFonts w:hAnsi="宋体"/>
          <w:b/>
          <w:bCs/>
          <w:sz w:val="32"/>
          <w:szCs w:val="32"/>
        </w:rPr>
        <w:br w:type="page"/>
      </w:r>
      <w:r>
        <w:rPr>
          <w:rFonts w:hint="eastAsia" w:ascii="华文中宋" w:hAnsi="华文中宋" w:eastAsia="华文中宋" w:cs="华文中宋"/>
          <w:b/>
          <w:bCs/>
          <w:sz w:val="32"/>
          <w:szCs w:val="32"/>
        </w:rPr>
        <w:t>响应文件目录</w:t>
      </w:r>
    </w:p>
    <w:p>
      <w:pPr>
        <w:snapToGrid w:val="0"/>
        <w:spacing w:before="50" w:after="50"/>
        <w:rPr>
          <w:rFonts w:ascii="仿宋_GB2312" w:hAnsi="仿宋_GB2312" w:eastAsia="仿宋_GB2312" w:cs="仿宋_GB2312"/>
          <w:sz w:val="24"/>
          <w:szCs w:val="24"/>
        </w:rPr>
      </w:pP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一、开标一览表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二、资格性和符合性检查响应对照表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三、资信证明文件</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四、磋商函格式</w:t>
      </w:r>
    </w:p>
    <w:p>
      <w:pPr>
        <w:adjustRightInd w:val="0"/>
        <w:snapToGrid w:val="0"/>
        <w:spacing w:line="360" w:lineRule="auto"/>
        <w:rPr>
          <w:rFonts w:ascii="仿宋_GB2312" w:hAnsi="仿宋_GB2312" w:eastAsia="仿宋_GB2312" w:cs="仿宋_GB2312"/>
          <w:b/>
          <w:sz w:val="24"/>
          <w:szCs w:val="24"/>
          <w:highlight w:val="yellow"/>
        </w:rPr>
      </w:pPr>
      <w:r>
        <w:rPr>
          <w:rFonts w:hint="eastAsia" w:ascii="仿宋_GB2312" w:hAnsi="仿宋_GB2312" w:eastAsia="仿宋_GB2312" w:cs="仿宋_GB2312"/>
          <w:b/>
          <w:sz w:val="24"/>
          <w:szCs w:val="24"/>
        </w:rPr>
        <w:t>五、电梯配件清单报价明细表</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六、服务方案</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招标编号：</w:t>
      </w:r>
    </w:p>
    <w:p>
      <w:pPr>
        <w:snapToGrid w:val="0"/>
        <w:spacing w:before="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投标人名称：</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w:t>
      </w:r>
    </w:p>
    <w:tbl>
      <w:tblPr>
        <w:tblStyle w:val="20"/>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550"/>
        <w:gridCol w:w="47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35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_GB2312" w:eastAsia="仿宋_GB2312" w:cs="仿宋_GB2312"/>
                <w:b/>
                <w:spacing w:val="-6"/>
                <w:sz w:val="24"/>
                <w:szCs w:val="24"/>
              </w:rPr>
            </w:pPr>
            <w:r>
              <w:rPr>
                <w:rFonts w:hint="eastAsia" w:ascii="仿宋_GB2312" w:hAnsi="仿宋_GB2312" w:eastAsia="仿宋_GB2312" w:cs="仿宋_GB2312"/>
                <w:b/>
                <w:spacing w:val="-6"/>
                <w:sz w:val="24"/>
                <w:szCs w:val="24"/>
              </w:rPr>
              <w:t>项目名称</w:t>
            </w:r>
          </w:p>
        </w:tc>
        <w:tc>
          <w:tcPr>
            <w:tcW w:w="47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_GB2312" w:eastAsia="仿宋_GB2312" w:cs="仿宋_GB2312"/>
                <w:b/>
                <w:spacing w:val="-6"/>
                <w:sz w:val="24"/>
                <w:szCs w:val="24"/>
              </w:rPr>
            </w:pPr>
            <w:r>
              <w:rPr>
                <w:rFonts w:hint="eastAsia" w:ascii="仿宋_GB2312" w:hAnsi="仿宋_GB2312" w:eastAsia="仿宋_GB2312" w:cs="仿宋_GB2312"/>
                <w:b/>
                <w:spacing w:val="-6"/>
                <w:sz w:val="24"/>
                <w:szCs w:val="24"/>
              </w:rPr>
              <w:t>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3550" w:type="dxa"/>
            <w:tcBorders>
              <w:top w:val="single" w:color="auto" w:sz="4" w:space="0"/>
              <w:left w:val="single" w:color="auto" w:sz="4" w:space="0"/>
              <w:right w:val="single" w:color="auto" w:sz="4" w:space="0"/>
            </w:tcBorders>
            <w:vAlign w:val="center"/>
          </w:tcPr>
          <w:p>
            <w:pPr>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2022-2024年社会化汽车租赁</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项目</w:t>
            </w:r>
          </w:p>
        </w:tc>
        <w:tc>
          <w:tcPr>
            <w:tcW w:w="4768" w:type="dxa"/>
            <w:tcBorders>
              <w:top w:val="single" w:color="auto" w:sz="4" w:space="0"/>
              <w:left w:val="single" w:color="auto" w:sz="4" w:space="0"/>
              <w:right w:val="single" w:color="auto" w:sz="4" w:space="0"/>
            </w:tcBorders>
            <w:vAlign w:val="center"/>
          </w:tcPr>
          <w:p>
            <w:pPr>
              <w:snapToGrid w:val="0"/>
              <w:spacing w:before="50" w:after="50"/>
              <w:jc w:val="left"/>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lang w:eastAsia="zh-CN"/>
              </w:rPr>
              <w:t>折扣率</w:t>
            </w:r>
            <w:r>
              <w:rPr>
                <w:rFonts w:hint="eastAsia" w:ascii="仿宋_GB2312" w:hAnsi="仿宋_GB2312" w:eastAsia="仿宋_GB2312" w:cs="仿宋_GB2312"/>
                <w:spacing w:val="-6"/>
                <w:sz w:val="24"/>
                <w:szCs w:val="24"/>
              </w:rPr>
              <w:t>大写：</w:t>
            </w:r>
            <w:r>
              <w:rPr>
                <w:rFonts w:hint="eastAsia" w:ascii="仿宋_GB2312" w:hAnsi="仿宋_GB2312" w:eastAsia="仿宋_GB2312" w:cs="仿宋_GB2312"/>
                <w:spacing w:val="-6"/>
                <w:sz w:val="24"/>
                <w:szCs w:val="24"/>
                <w:u w:val="single"/>
              </w:rPr>
              <w:t xml:space="preserve">                   </w:t>
            </w:r>
          </w:p>
          <w:p>
            <w:pPr>
              <w:snapToGrid w:val="0"/>
              <w:spacing w:before="50" w:after="50"/>
              <w:jc w:val="center"/>
              <w:rPr>
                <w:rFonts w:ascii="仿宋_GB2312" w:hAnsi="仿宋_GB2312" w:eastAsia="仿宋_GB2312" w:cs="仿宋_GB2312"/>
                <w:spacing w:val="-6"/>
                <w:sz w:val="24"/>
                <w:szCs w:val="24"/>
              </w:rPr>
            </w:pPr>
          </w:p>
          <w:p>
            <w:pPr>
              <w:snapToGrid w:val="0"/>
              <w:spacing w:before="50" w:after="50"/>
              <w:jc w:val="left"/>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lang w:eastAsia="zh-CN"/>
              </w:rPr>
              <w:t>折扣率</w:t>
            </w:r>
            <w:r>
              <w:rPr>
                <w:rFonts w:hint="eastAsia" w:ascii="仿宋_GB2312" w:hAnsi="仿宋_GB2312" w:eastAsia="仿宋_GB2312" w:cs="仿宋_GB2312"/>
                <w:spacing w:val="-6"/>
                <w:sz w:val="24"/>
                <w:szCs w:val="24"/>
              </w:rPr>
              <w:t>小写：</w:t>
            </w:r>
            <w:r>
              <w:rPr>
                <w:rFonts w:hint="eastAsia" w:ascii="仿宋_GB2312" w:hAnsi="仿宋_GB2312" w:eastAsia="仿宋_GB2312" w:cs="仿宋_GB2312"/>
                <w:spacing w:val="-6"/>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8318"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50" w:after="5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备注：</w:t>
            </w:r>
          </w:p>
          <w:p>
            <w:pPr>
              <w:tabs>
                <w:tab w:val="left" w:pos="1396"/>
              </w:tabs>
              <w:jc w:val="left"/>
              <w:rPr>
                <w:rFonts w:ascii="仿宋_GB2312" w:hAnsi="仿宋_GB2312" w:eastAsia="仿宋_GB2312" w:cs="仿宋_GB2312"/>
              </w:rPr>
            </w:pPr>
            <w:r>
              <w:rPr>
                <w:rFonts w:hint="eastAsia" w:ascii="仿宋_GB2312" w:hAnsi="仿宋_GB2312" w:eastAsia="仿宋_GB2312" w:cs="仿宋_GB2312"/>
              </w:rPr>
              <w:tab/>
            </w:r>
          </w:p>
        </w:tc>
      </w:tr>
    </w:tbl>
    <w:p>
      <w:pPr>
        <w:snapToGrid w:val="0"/>
        <w:spacing w:before="50" w:after="50" w:line="360" w:lineRule="auto"/>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 1、实际费用据实结算。</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2、报价不得涂改否则其投标作无效标处理。</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r>
        <w:rPr>
          <w:rFonts w:hint="eastAsia" w:ascii="仿宋_GB2312" w:hAnsi="仿宋_GB2312" w:eastAsia="仿宋_GB2312" w:cs="仿宋_GB2312"/>
          <w:sz w:val="24"/>
          <w:szCs w:val="24"/>
        </w:rPr>
        <w:t>磋商报价</w:t>
      </w:r>
      <w:r>
        <w:rPr>
          <w:rFonts w:hint="eastAsia" w:ascii="仿宋_GB2312" w:hAnsi="仿宋_GB2312" w:eastAsia="仿宋_GB2312" w:cs="仿宋_GB2312"/>
          <w:spacing w:val="-6"/>
          <w:sz w:val="24"/>
          <w:szCs w:val="24"/>
        </w:rPr>
        <w:t>应包括</w:t>
      </w:r>
      <w:r>
        <w:rPr>
          <w:rFonts w:hint="eastAsia" w:ascii="仿宋_GB2312" w:hAnsi="仿宋_GB2312" w:eastAsia="仿宋_GB2312" w:cs="仿宋_GB2312"/>
          <w:sz w:val="24"/>
          <w:szCs w:val="24"/>
        </w:rPr>
        <w:t>所需人工费、材料费、其他（保险费，以及合同明示或暗示的风险、责任和义务等）费，以及管理费、利润和规费、税金等一切费用</w:t>
      </w:r>
      <w:r>
        <w:rPr>
          <w:rFonts w:hint="eastAsia" w:ascii="仿宋_GB2312" w:hAnsi="仿宋_GB2312" w:eastAsia="仿宋_GB2312" w:cs="仿宋_GB2312"/>
          <w:spacing w:val="-6"/>
          <w:sz w:val="24"/>
          <w:szCs w:val="24"/>
        </w:rPr>
        <w:t>。</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授权代表签字：</w:t>
      </w:r>
    </w:p>
    <w:p>
      <w:pPr>
        <w:jc w:val="center"/>
        <w:rPr>
          <w:rFonts w:ascii="仿宋_GB2312" w:hAnsi="仿宋_GB2312" w:eastAsia="仿宋_GB2312" w:cs="仿宋_GB2312"/>
          <w:sz w:val="24"/>
          <w:szCs w:val="24"/>
        </w:rPr>
      </w:pPr>
      <w:r>
        <w:rPr>
          <w:rFonts w:hint="eastAsia" w:ascii="仿宋_GB2312" w:hAnsi="仿宋_GB2312" w:eastAsia="仿宋_GB2312" w:cs="仿宋_GB2312"/>
          <w:spacing w:val="-6"/>
          <w:sz w:val="24"/>
          <w:szCs w:val="24"/>
        </w:rPr>
        <w:t>投标人名称（盖章）：                                 日期：    年   月   日</w:t>
      </w:r>
    </w:p>
    <w:p>
      <w:pPr>
        <w:jc w:val="center"/>
        <w:rPr>
          <w:rStyle w:val="40"/>
          <w:rFonts w:ascii="仿宋_GB2312" w:hAnsi="仿宋_GB2312" w:eastAsia="仿宋_GB2312" w:cs="仿宋_GB2312"/>
          <w:color w:val="auto"/>
          <w:sz w:val="24"/>
          <w:szCs w:val="24"/>
        </w:rPr>
      </w:pPr>
    </w:p>
    <w:p>
      <w:pPr>
        <w:jc w:val="center"/>
        <w:rPr>
          <w:rFonts w:ascii="仿宋_GB2312" w:hAnsi="仿宋_GB2312" w:eastAsia="仿宋_GB2312" w:cs="仿宋_GB2312"/>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Style w:val="40"/>
          <w:rFonts w:ascii="华文中宋" w:hAnsi="华文中宋" w:eastAsia="华文中宋"/>
          <w:color w:val="auto"/>
          <w:sz w:val="28"/>
          <w:szCs w:val="28"/>
        </w:rPr>
      </w:pPr>
      <w:r>
        <w:rPr>
          <w:rStyle w:val="40"/>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ascii="仿宋_GB2312" w:hAnsi="仿宋_GB2312" w:eastAsia="仿宋_GB2312" w:cs="仿宋_GB2312"/>
          <w:sz w:val="24"/>
          <w:szCs w:val="24"/>
        </w:rPr>
      </w:pPr>
      <w:r>
        <w:rPr>
          <w:rFonts w:hint="eastAsia" w:ascii="仿宋_GB2312" w:hAnsi="仿宋_GB2312" w:eastAsia="仿宋_GB2312" w:cs="仿宋_GB2312"/>
          <w:sz w:val="24"/>
          <w:szCs w:val="24"/>
        </w:rPr>
        <w:t>供应商全称（加盖公章）：</w:t>
      </w:r>
    </w:p>
    <w:tbl>
      <w:tblPr>
        <w:tblStyle w:val="20"/>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 w:hRule="atLeast"/>
        </w:trPr>
        <w:tc>
          <w:tcPr>
            <w:tcW w:w="709"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678"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资格和符合性检查响应内容</w:t>
            </w:r>
          </w:p>
        </w:tc>
        <w:tc>
          <w:tcPr>
            <w:tcW w:w="1842"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是否响应</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（填是或者否）</w:t>
            </w:r>
          </w:p>
        </w:tc>
        <w:tc>
          <w:tcPr>
            <w:tcW w:w="1701"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响应文件中的</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b/>
                <w:sz w:val="24"/>
                <w:szCs w:val="24"/>
              </w:rPr>
            </w:pPr>
            <w:r>
              <w:rPr>
                <w:rFonts w:hint="eastAsia" w:ascii="仿宋_GB2312" w:hAnsi="仿宋_GB2312" w:eastAsia="仿宋_GB2312" w:cs="仿宋_GB2312"/>
                <w:sz w:val="24"/>
                <w:szCs w:val="24"/>
              </w:rPr>
              <w:t>1</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文件1   工商营业执照（复印件，加盖公章）</w:t>
            </w:r>
          </w:p>
        </w:tc>
        <w:tc>
          <w:tcPr>
            <w:tcW w:w="1842" w:type="dxa"/>
            <w:vAlign w:val="center"/>
          </w:tcPr>
          <w:p>
            <w:pPr>
              <w:jc w:val="center"/>
              <w:rPr>
                <w:rFonts w:ascii="仿宋_GB2312" w:hAnsi="仿宋_GB2312" w:eastAsia="仿宋_GB2312" w:cs="仿宋_GB2312"/>
                <w:b/>
                <w:sz w:val="24"/>
                <w:szCs w:val="24"/>
              </w:rPr>
            </w:pPr>
          </w:p>
        </w:tc>
        <w:tc>
          <w:tcPr>
            <w:tcW w:w="1701" w:type="dxa"/>
            <w:vAlign w:val="center"/>
          </w:tcPr>
          <w:p>
            <w:pPr>
              <w:jc w:val="center"/>
              <w:rPr>
                <w:rFonts w:ascii="仿宋_GB2312" w:hAnsi="仿宋_GB2312" w:eastAsia="仿宋_GB2312" w:cs="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文件2   法人授权书（原件，非法定代表人参与磋商时必须提供）</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文件3   投标人一般情况表（原件）</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1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4678" w:type="dxa"/>
            <w:vAlign w:val="center"/>
          </w:tcPr>
          <w:p>
            <w:pPr>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rPr>
              <w:t>磋商文件中的其他实质性要求</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bl>
    <w:p>
      <w:pPr>
        <w:snapToGrid w:val="0"/>
        <w:spacing w:before="50" w:after="50"/>
        <w:rPr>
          <w:rFonts w:hAnsi="宋体"/>
          <w:sz w:val="24"/>
          <w:szCs w:val="24"/>
        </w:rPr>
      </w:pPr>
    </w:p>
    <w:p>
      <w:pPr>
        <w:snapToGrid w:val="0"/>
        <w:spacing w:before="50" w:after="50"/>
        <w:jc w:val="center"/>
        <w:rPr>
          <w:rStyle w:val="40"/>
          <w:rFonts w:ascii="华文中宋" w:hAnsi="华文中宋" w:eastAsia="华文中宋"/>
          <w:color w:val="auto"/>
          <w:sz w:val="28"/>
          <w:szCs w:val="28"/>
        </w:rPr>
      </w:pPr>
      <w:r>
        <w:rPr>
          <w:rFonts w:hAnsi="宋体"/>
          <w:sz w:val="32"/>
          <w:szCs w:val="32"/>
        </w:rPr>
        <w:br w:type="page"/>
      </w:r>
      <w:r>
        <w:rPr>
          <w:rStyle w:val="40"/>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24" w:name="_Toc22356583"/>
      <w:bookmarkStart w:id="125" w:name="_Toc24878535"/>
      <w:bookmarkStart w:id="126" w:name="_Toc513029281"/>
      <w:bookmarkStart w:id="127" w:name="_Toc26554103"/>
      <w:bookmarkStart w:id="128" w:name="_Toc23828483"/>
      <w:bookmarkStart w:id="129" w:name="_Toc120614291"/>
      <w:bookmarkStart w:id="130" w:name="_Toc49090582"/>
      <w:bookmarkStart w:id="131"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ascii="华文中宋" w:hAnsi="华文中宋" w:eastAsia="华文中宋" w:cs="华文中宋"/>
        </w:rPr>
        <w:t>法人授权书</w:t>
      </w:r>
      <w:bookmarkEnd w:id="124"/>
      <w:bookmarkEnd w:id="125"/>
      <w:bookmarkEnd w:id="126"/>
      <w:bookmarkEnd w:id="127"/>
      <w:bookmarkEnd w:id="128"/>
      <w:bookmarkEnd w:id="129"/>
      <w:bookmarkEnd w:id="130"/>
      <w:r>
        <w:rPr>
          <w:rFonts w:hint="eastAsia" w:ascii="华文中宋" w:hAnsi="华文中宋" w:eastAsia="华文中宋" w:cs="华文中宋"/>
        </w:rPr>
        <w:t>格式</w:t>
      </w:r>
    </w:p>
    <w:p>
      <w:pPr>
        <w:snapToGrid w:val="0"/>
        <w:spacing w:line="360" w:lineRule="auto"/>
        <w:rPr>
          <w:rFonts w:ascii="仿宋_GB2312" w:hAnsi="仿宋_GB2312" w:eastAsia="仿宋_GB2312" w:cs="仿宋_GB2312"/>
          <w:b/>
          <w:spacing w:val="-6"/>
          <w:sz w:val="24"/>
          <w:szCs w:val="24"/>
        </w:rPr>
      </w:pPr>
      <w:r>
        <w:rPr>
          <w:rFonts w:hint="eastAsia" w:ascii="仿宋_GB2312" w:hAnsi="仿宋_GB2312" w:eastAsia="仿宋_GB2312" w:cs="仿宋_GB2312"/>
          <w:spacing w:val="-6"/>
          <w:sz w:val="24"/>
          <w:szCs w:val="24"/>
        </w:rPr>
        <w:t>致：皖南医学院：</w:t>
      </w:r>
    </w:p>
    <w:p>
      <w:pPr>
        <w:adjustRightInd w:val="0"/>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我______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_（姓名）系______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 xml:space="preserve">_（投标人名称）的法定代表人，现授权委托本单位在职职工 </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（姓名）以我方的名义参加</w:t>
      </w:r>
      <w:r>
        <w:rPr>
          <w:rFonts w:hint="eastAsia" w:ascii="仿宋_GB2312" w:hAnsi="仿宋_GB2312" w:eastAsia="仿宋_GB2312" w:cs="仿宋_GB2312"/>
          <w:kern w:val="0"/>
          <w:sz w:val="24"/>
          <w:szCs w:val="24"/>
        </w:rPr>
        <w:t>皖南医学院</w:t>
      </w:r>
      <w:r>
        <w:rPr>
          <w:rFonts w:hint="eastAsia" w:ascii="仿宋_GB2312" w:hAnsi="仿宋_GB2312" w:eastAsia="仿宋_GB2312" w:cs="仿宋_GB2312"/>
          <w:bCs/>
          <w:sz w:val="24"/>
          <w:szCs w:val="24"/>
        </w:rPr>
        <w:t>电梯维保项目</w:t>
      </w:r>
      <w:r>
        <w:rPr>
          <w:rFonts w:hint="eastAsia" w:ascii="仿宋_GB2312" w:hAnsi="仿宋_GB2312" w:eastAsia="仿宋_GB2312" w:cs="仿宋_GB2312"/>
          <w:spacing w:val="-6"/>
          <w:sz w:val="24"/>
          <w:szCs w:val="24"/>
        </w:rPr>
        <w:t>的投标活动，并代表我方全权办理针对上述项目的投标、开标、磋商、签约等具体事务和签署相关文件。</w:t>
      </w:r>
    </w:p>
    <w:p>
      <w:pPr>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我方对被授权人的签名负全部责任。</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被授权人无转委托权，特此委托。</w:t>
      </w:r>
    </w:p>
    <w:p>
      <w:pPr>
        <w:snapToGrid w:val="0"/>
        <w:spacing w:beforeLines="50" w:after="50" w:line="360" w:lineRule="auto"/>
        <w:rPr>
          <w:rFonts w:ascii="仿宋_GB2312" w:hAnsi="仿宋_GB2312" w:eastAsia="仿宋_GB2312" w:cs="仿宋_GB2312"/>
          <w:spacing w:val="-6"/>
          <w:sz w:val="24"/>
          <w:szCs w:val="24"/>
        </w:rPr>
      </w:pPr>
    </w:p>
    <w:p>
      <w:pPr>
        <w:snapToGrid w:val="0"/>
        <w:spacing w:beforeLines="50" w:after="50" w:line="360" w:lineRule="auto"/>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被授权人签名：</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法定代表人签名：</w:t>
      </w:r>
      <w:r>
        <w:rPr>
          <w:rFonts w:hint="eastAsia" w:ascii="仿宋_GB2312" w:hAnsi="仿宋_GB2312" w:eastAsia="仿宋_GB2312" w:cs="仿宋_GB2312"/>
          <w:spacing w:val="-6"/>
          <w:sz w:val="24"/>
          <w:szCs w:val="24"/>
          <w:u w:val="single"/>
        </w:rPr>
        <w:t xml:space="preserve">          </w:t>
      </w:r>
    </w:p>
    <w:p>
      <w:pPr>
        <w:snapToGrid w:val="0"/>
        <w:spacing w:beforeLines="50" w:after="50" w:line="360" w:lineRule="auto"/>
        <w:ind w:firstLine="912" w:firstLineChars="4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职务：</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职务：</w:t>
      </w:r>
      <w:r>
        <w:rPr>
          <w:rFonts w:hint="eastAsia" w:ascii="仿宋_GB2312" w:hAnsi="仿宋_GB2312" w:eastAsia="仿宋_GB2312" w:cs="仿宋_GB2312"/>
          <w:spacing w:val="-6"/>
          <w:sz w:val="24"/>
          <w:szCs w:val="24"/>
          <w:u w:val="single"/>
        </w:rPr>
        <w:t xml:space="preserve">           </w:t>
      </w:r>
    </w:p>
    <w:p>
      <w:pPr>
        <w:snapToGrid w:val="0"/>
        <w:spacing w:beforeLines="50" w:after="50" w:line="360" w:lineRule="auto"/>
        <w:rPr>
          <w:rFonts w:ascii="仿宋_GB2312" w:hAnsi="仿宋_GB2312" w:eastAsia="仿宋_GB2312" w:cs="仿宋_GB2312"/>
          <w:spacing w:val="-6"/>
          <w:sz w:val="24"/>
          <w:szCs w:val="24"/>
        </w:rPr>
      </w:pPr>
    </w:p>
    <w:p>
      <w:pPr>
        <w:snapToGrid w:val="0"/>
        <w:spacing w:beforeLines="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napToGrid w:val="0"/>
        <w:spacing w:beforeLines="50" w:after="50"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年    月    日</w:t>
      </w:r>
    </w:p>
    <w:p>
      <w:pPr>
        <w:spacing w:line="360" w:lineRule="auto"/>
        <w:rPr>
          <w:rFonts w:ascii="仿宋_GB2312" w:hAnsi="仿宋_GB2312" w:eastAsia="仿宋_GB2312" w:cs="仿宋_GB2312"/>
          <w:spacing w:val="-6"/>
          <w:sz w:val="24"/>
          <w:szCs w:val="24"/>
        </w:rPr>
      </w:pPr>
      <w:r>
        <w:rPr>
          <w:rFonts w:ascii="仿宋_GB2312" w:hAnsi="仿宋_GB2312" w:eastAsia="仿宋_GB2312" w:cs="仿宋_GB2312"/>
          <w:spacing w:val="-6"/>
          <w:sz w:val="24"/>
          <w:szCs w:val="24"/>
        </w:rPr>
        <w:pict>
          <v:shape id="文本框 4" o:spid="_x0000_s1026" o:spt="202" type="#_x0000_t202" style="position:absolute;left:0pt;margin-left:244.75pt;margin-top:11.7pt;height:185.85pt;width:238.05pt;z-index:251660288;mso-width-relative:page;mso-height-relative:page;"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FWUTv8QEAAOkDAAAOAAAAZHJzL2Uyb0RvYy54bWyt&#10;U0uOEzEQ3SNxB8t70j0dMmJa6YwEIWwQIA0coOJPtyX/ZHvSnQvADVixYc+5cg7KTiYzAywQohfu&#10;ctXzc9Wr8vJ6MprsRIjK2Y5ezGpKhGWOK9t39NPHzbMXlMQEloN2VnR0LyK9Xj19shx9Kxo3OM1F&#10;IEhiYzv6jg4p+baqIhuEgThzXlgMShcMJNyGvuIBRmQ3umrq+rIaXeA+OCZiRO/6GKSrwi+lYOm9&#10;lFEkojuKuaWyhrJu81qtltD2Afyg2CkN+IcsDCiLl56p1pCA3Ab1G5VRLLjoZJoxZyonpWKi1IDV&#10;XNS/VHMzgBelFhQn+rNM8f/Rsne7D4Eo3tE5JRYMtujw9cvh24/D98/keZZn9LFF1I1HXJpeugnb&#10;fOeP6MxVTzKY/Md6CMZR6P1ZXDElwtA5r5t5M19QwjDWzC/r5mqRear74z7E9EY4Q7LR0YDdK6LC&#10;7m1MR+gdJN8WnVZ8o7Qum9BvX+lAdoCd3pTvxP4Ipi0ZO3q1aHIigAMnNSQ0jUcJou3LfY9OxIfE&#10;dfn+RJwTW0McjgkUhgyD1qgkQrEGAfy15STtPcps8T3QnIwRnBIt8PlkqyATKP03SNROW5Qw9+jY&#10;i2ylaTshTTa3ju+xb7c+qH5ASUvnChznqWh/mv08sA/3hfT+ha5+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B9HLvaAAAACgEAAA8AAAAAAAAAAQAgAAAAIgAAAGRycy9kb3ducmV2LnhtbFBLAQIU&#10;ABQAAAAIAIdO4kCFWUTv8QEAAOkDAAAOAAAAAAAAAAEAIAAAACkBAABkcnMvZTJvRG9jLnhtbFBL&#10;BQYAAAAABgAGAFkBAACMBQAAAAA=&#10;">
            <v:path/>
            <v:fill focussize="0,0"/>
            <v:stroke joinstyle="miter"/>
            <v:imagedata o:title=""/>
            <o:lock v:ext="edit"/>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法人身份证复印件粘贴处</w:t>
                  </w:r>
                </w:p>
              </w:txbxContent>
            </v:textbox>
          </v:shape>
        </w:pict>
      </w:r>
      <w:r>
        <w:rPr>
          <w:rFonts w:ascii="仿宋_GB2312" w:hAnsi="仿宋_GB2312" w:eastAsia="仿宋_GB2312" w:cs="仿宋_GB2312"/>
          <w:spacing w:val="-6"/>
          <w:sz w:val="24"/>
          <w:szCs w:val="24"/>
        </w:rPr>
        <w:pict>
          <v:shape id="Text Box 3" o:spid="_x0000_s1027" o:spt="202" type="#_x0000_t202" style="position:absolute;left:0pt;margin-left:-12.25pt;margin-top:11.7pt;height:185.85pt;width:241.15pt;z-index:251659264;mso-width-relative:page;mso-height-relative:page;"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NKgZ4zhAQAA6AMAAA4AAABkcnMvZTJvRG9jLnhtbK1T&#10;TW/bMAy9D9h/EHRf7DpIsBpxCmxZdhm2Ae1+ACPJtgB9QVRj59+PUtK03XYYhvkgU+TTE/lIbe5m&#10;a9hRRdTedfxmUXOmnPBSu6HjPx72795zhgmcBOOd6vhJIb/bvn2zmUKrGj96I1VkROKwnULHx5RC&#10;W1UoRmUBFz4oR8HeRwuJtnGoZISJ2K2pmrpeV5OPMkQvFCJ5d+cg3xb+vlcifet7VImZjlNuqayx&#10;rIe8VtsNtEOEMGpxSQP+IQsL2tGlV6odJGCPUf9GZbWIHn2fFsLbyve9FqrUQNXc1L9Ucz9CUKUW&#10;EgfDVSb8f7Ti6/F7ZFp2vOHMgaUWPag5sQ9+ZsuszhSwJdB9IFiayU1dfvIjOXPRcx9t/lM5jOKk&#10;8+mqbSYT5FzW62ZdrzgTFGuW67q5XWWe6vl4iJg+K29ZNjoeqXlFUzh+wXSGPkHybeiNlnttTNnE&#10;4fDRRHYEavS+fBf2VzDj2NTx21WTEwGat95AItMGUgDdUO57dQJfEtfl+xNxTmwHOJ4TKAwZBq3V&#10;ScVijQrkJydZOgVS2dFz4DkZqyRnRtHryVZBJtDmb5CknXEkYe7RuRfZSvNhJppsHrw8Ud8eQ9TD&#10;SJKWzhU4jVPR/jL6eV5f7gvp8wPd/g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Lr0p2QAAAAoB&#10;AAAPAAAAAAAAAAEAIAAAACIAAABkcnMvZG93bnJldi54bWxQSwECFAAUAAAACACHTuJA0qBnjOEB&#10;AADoAwAADgAAAAAAAAABACAAAAAoAQAAZHJzL2Uyb0RvYy54bWxQSwUGAAAAAAYABgBZAQAAewUA&#10;AAAA&#10;">
            <v:path/>
            <v:fill focussize="0,0"/>
            <v:stroke joinstyle="miter"/>
            <v:imagedata o:title=""/>
            <o:lock v:ext="edit"/>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被授权人身份证复印件粘贴处</w:t>
                  </w:r>
                </w:p>
              </w:txbxContent>
            </v:textbox>
          </v:shape>
        </w:pict>
      </w: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adjustRightInd w:val="0"/>
        <w:snapToGrid w:val="0"/>
        <w:spacing w:line="30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w:t>
      </w: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华文中宋" w:hAnsi="华文中宋" w:eastAsia="华文中宋" w:cs="华文中宋"/>
          <w:b/>
          <w:spacing w:val="-6"/>
          <w:sz w:val="24"/>
        </w:rPr>
      </w:pPr>
      <w:r>
        <w:rPr>
          <w:rFonts w:hint="eastAsia" w:ascii="华文中宋" w:hAnsi="华文中宋" w:eastAsia="华文中宋" w:cs="华文中宋"/>
          <w:b/>
          <w:spacing w:val="-6"/>
          <w:sz w:val="24"/>
        </w:rPr>
        <w:t>投标人一般情况表</w:t>
      </w:r>
    </w:p>
    <w:p>
      <w:pPr>
        <w:spacing w:line="360" w:lineRule="auto"/>
        <w:rPr>
          <w:rFonts w:ascii="宋体" w:hAnsi="宋体"/>
          <w:spacing w:val="-6"/>
        </w:rPr>
      </w:pPr>
    </w:p>
    <w:tbl>
      <w:tblPr>
        <w:tblStyle w:val="20"/>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电话：</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5</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传真：</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6</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注册地：</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7</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8</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9</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作为承包人经历年数：</w:t>
            </w:r>
          </w:p>
        </w:tc>
        <w:tc>
          <w:tcPr>
            <w:tcW w:w="5627" w:type="dxa"/>
            <w:gridSpan w:val="2"/>
            <w:vAlign w:val="center"/>
          </w:tcPr>
          <w:p>
            <w:pPr>
              <w:spacing w:line="360" w:lineRule="auto"/>
              <w:rPr>
                <w:rFonts w:ascii="仿宋_GB2312" w:hAnsi="仿宋_GB2312" w:eastAsia="仿宋_GB2312" w:cs="仿宋_GB2312"/>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10</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其他需要说明的情况</w:t>
            </w:r>
          </w:p>
        </w:tc>
        <w:tc>
          <w:tcPr>
            <w:tcW w:w="5627" w:type="dxa"/>
            <w:gridSpan w:val="2"/>
            <w:vAlign w:val="center"/>
          </w:tcPr>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tc>
      </w:tr>
    </w:tbl>
    <w:p>
      <w:pPr>
        <w:spacing w:line="360" w:lineRule="auto"/>
        <w:ind w:firstLine="573"/>
        <w:rPr>
          <w:rFonts w:ascii="宋体" w:hAnsi="宋体"/>
          <w:spacing w:val="-6"/>
          <w:sz w:val="24"/>
          <w:szCs w:val="24"/>
        </w:rPr>
      </w:pPr>
    </w:p>
    <w:p>
      <w:pPr>
        <w:spacing w:line="360" w:lineRule="auto"/>
        <w:ind w:firstLine="228" w:firstLineChars="1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说明：所有投标申请人都须填写此表；</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ind w:left="540" w:firstLine="30"/>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授权代表签字：</w:t>
      </w:r>
    </w:p>
    <w:p>
      <w:pPr>
        <w:spacing w:line="360" w:lineRule="auto"/>
        <w:ind w:left="540" w:firstLine="5068"/>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日期：    年   月  日</w:t>
      </w: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hAnsi="宋体"/>
          <w:spacing w:val="-6"/>
        </w:rPr>
      </w:pPr>
      <w:r>
        <w:rPr>
          <w:rFonts w:hint="eastAsia" w:hAnsi="宋体"/>
          <w:spacing w:val="-6"/>
        </w:rPr>
        <w:t xml:space="preserve"> </w:t>
      </w:r>
    </w:p>
    <w:p>
      <w:pPr>
        <w:pStyle w:val="11"/>
        <w:snapToGrid w:val="0"/>
        <w:spacing w:beforeLines="0" w:afterLines="0" w:line="360" w:lineRule="auto"/>
        <w:jc w:val="left"/>
        <w:rPr>
          <w:rFonts w:hAnsi="宋体"/>
          <w:spacing w:val="-6"/>
        </w:rPr>
      </w:pPr>
    </w:p>
    <w:p>
      <w:pPr>
        <w:pStyle w:val="31"/>
        <w:ind w:firstLine="0" w:firstLineChars="0"/>
        <w:rPr>
          <w:rFonts w:hAnsi="宋体" w:eastAsia="宋体"/>
          <w:sz w:val="24"/>
          <w:szCs w:val="24"/>
        </w:rPr>
      </w:pPr>
    </w:p>
    <w:p>
      <w:pPr>
        <w:pStyle w:val="31"/>
        <w:ind w:firstLine="0" w:firstLineChars="0"/>
        <w:rPr>
          <w:rFonts w:hAnsi="宋体" w:eastAsia="宋体"/>
          <w:sz w:val="24"/>
          <w:szCs w:val="24"/>
        </w:rPr>
      </w:pPr>
    </w:p>
    <w:bookmarkEnd w:id="131"/>
    <w:p>
      <w:pPr>
        <w:jc w:val="center"/>
        <w:rPr>
          <w:rStyle w:val="40"/>
          <w:rFonts w:ascii="华文中宋" w:hAnsi="华文中宋" w:eastAsia="华文中宋"/>
          <w:b w:val="0"/>
          <w:color w:val="auto"/>
          <w:sz w:val="28"/>
          <w:szCs w:val="28"/>
        </w:rPr>
      </w:pPr>
      <w:bookmarkStart w:id="132" w:name="_Toc460901585"/>
      <w:bookmarkStart w:id="133" w:name="_Toc22356580"/>
      <w:bookmarkStart w:id="134" w:name="_Toc120614283"/>
      <w:bookmarkStart w:id="135" w:name="_Toc26554095"/>
      <w:bookmarkStart w:id="136" w:name="_Toc23828478"/>
      <w:bookmarkStart w:id="137" w:name="_Toc513029276"/>
      <w:bookmarkStart w:id="138" w:name="_Toc49090577"/>
      <w:r>
        <w:rPr>
          <w:rFonts w:hint="eastAsia" w:ascii="华文中宋" w:hAnsi="华文中宋" w:eastAsia="华文中宋"/>
          <w:b/>
          <w:spacing w:val="-6"/>
          <w:szCs w:val="28"/>
        </w:rPr>
        <w:t>四、</w:t>
      </w:r>
      <w:r>
        <w:rPr>
          <w:rStyle w:val="40"/>
          <w:rFonts w:hint="eastAsia" w:ascii="华文中宋" w:hAnsi="华文中宋" w:eastAsia="华文中宋"/>
          <w:color w:val="auto"/>
          <w:sz w:val="28"/>
          <w:szCs w:val="28"/>
        </w:rPr>
        <w:t>磋商函格式</w:t>
      </w:r>
    </w:p>
    <w:bookmarkEnd w:id="132"/>
    <w:bookmarkEnd w:id="133"/>
    <w:bookmarkEnd w:id="134"/>
    <w:bookmarkEnd w:id="135"/>
    <w:bookmarkEnd w:id="136"/>
    <w:bookmarkEnd w:id="137"/>
    <w:bookmarkEnd w:id="138"/>
    <w:p>
      <w:pPr>
        <w:tabs>
          <w:tab w:val="left" w:pos="5580"/>
        </w:tabs>
        <w:spacing w:line="480" w:lineRule="exact"/>
        <w:rPr>
          <w:rStyle w:val="40"/>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eastAsia="仿宋_GB2312" w:hAnsiTheme="majorEastAsia"/>
          <w:kern w:val="0"/>
          <w:sz w:val="24"/>
          <w:szCs w:val="24"/>
        </w:rPr>
        <w:t>皖南医学院</w:t>
      </w:r>
      <w:r>
        <w:rPr>
          <w:rFonts w:hint="eastAsia" w:ascii="仿宋_GB2312" w:hAnsi="仿宋_GB2312" w:eastAsia="仿宋_GB2312" w:cs="仿宋_GB2312"/>
          <w:bCs/>
          <w:sz w:val="24"/>
          <w:szCs w:val="24"/>
        </w:rPr>
        <w:t>电梯维保项目</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rPr>
          <w:rFonts w:ascii="仿宋_GB2312" w:hAnsi="宋体" w:eastAsia="仿宋_GB2312"/>
          <w:sz w:val="24"/>
          <w:szCs w:val="24"/>
        </w:rPr>
      </w:pPr>
      <w:r>
        <w:rPr>
          <w:rFonts w:hint="eastAsia" w:ascii="仿宋_GB2312" w:hAnsi="宋体" w:eastAsia="仿宋_GB2312"/>
          <w:sz w:val="24"/>
          <w:szCs w:val="24"/>
        </w:rPr>
        <w:t>地址：</w:t>
      </w:r>
    </w:p>
    <w:p>
      <w:pPr>
        <w:rPr>
          <w:rFonts w:ascii="仿宋_GB2312" w:hAnsi="宋体" w:eastAsia="仿宋_GB2312"/>
          <w:sz w:val="24"/>
          <w:szCs w:val="24"/>
        </w:rPr>
      </w:pPr>
      <w:r>
        <w:rPr>
          <w:rFonts w:hint="eastAsia" w:ascii="仿宋_GB2312" w:hAnsi="宋体" w:eastAsia="仿宋_GB2312"/>
          <w:sz w:val="24"/>
          <w:szCs w:val="24"/>
        </w:rPr>
        <w:t>邮编：</w:t>
      </w:r>
    </w:p>
    <w:p>
      <w:pPr>
        <w:rPr>
          <w:rFonts w:ascii="仿宋_GB2312" w:hAnsi="宋体" w:eastAsia="仿宋_GB2312"/>
          <w:sz w:val="24"/>
          <w:szCs w:val="24"/>
        </w:rPr>
      </w:pPr>
      <w:r>
        <w:rPr>
          <w:rFonts w:hint="eastAsia" w:ascii="仿宋_GB2312" w:hAnsi="宋体" w:eastAsia="仿宋_GB2312"/>
          <w:sz w:val="24"/>
          <w:szCs w:val="24"/>
        </w:rPr>
        <w:t>电话：</w:t>
      </w:r>
    </w:p>
    <w:p>
      <w:pPr>
        <w:rPr>
          <w:rFonts w:ascii="仿宋_GB2312" w:hAnsi="宋体" w:eastAsia="仿宋_GB2312"/>
          <w:sz w:val="24"/>
          <w:szCs w:val="24"/>
        </w:rPr>
      </w:pPr>
      <w:r>
        <w:rPr>
          <w:rFonts w:hint="eastAsia" w:ascii="仿宋_GB2312" w:hAnsi="宋体" w:eastAsia="仿宋_GB2312"/>
          <w:sz w:val="24"/>
          <w:szCs w:val="24"/>
        </w:rPr>
        <w:t>传真：</w:t>
      </w:r>
    </w:p>
    <w:p>
      <w:pPr>
        <w:rPr>
          <w:rFonts w:ascii="仿宋_GB2312" w:hAnsi="宋体" w:eastAsia="仿宋_GB2312"/>
          <w:sz w:val="24"/>
          <w:szCs w:val="24"/>
        </w:rPr>
      </w:pPr>
      <w:r>
        <w:rPr>
          <w:rFonts w:hint="eastAsia" w:ascii="仿宋_GB2312" w:hAnsi="宋体" w:eastAsia="仿宋_GB2312"/>
          <w:sz w:val="24"/>
          <w:szCs w:val="24"/>
        </w:rPr>
        <w:t>供应商开户行：</w:t>
      </w:r>
    </w:p>
    <w:p>
      <w:pPr>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eastAsia="仿宋_GB2312"/>
          <w:sz w:val="24"/>
          <w:szCs w:val="24"/>
        </w:rPr>
      </w:pPr>
      <w:r>
        <w:rPr>
          <w:rFonts w:hint="eastAsia" w:ascii="仿宋_GB2312" w:eastAsia="仿宋_GB2312"/>
          <w:sz w:val="24"/>
          <w:szCs w:val="24"/>
        </w:rPr>
        <w:t>六、服务方案（主要但不限于服务</w:t>
      </w:r>
      <w:r>
        <w:rPr>
          <w:rFonts w:hint="eastAsia" w:ascii="仿宋_GB2312" w:eastAsia="仿宋_GB2312" w:hAnsiTheme="minorEastAsia"/>
          <w:sz w:val="24"/>
          <w:szCs w:val="24"/>
        </w:rPr>
        <w:t>组织机构和人员组成、服务方案、技术保障能力，服务承诺、业绩等</w:t>
      </w:r>
      <w:r>
        <w:rPr>
          <w:rFonts w:hint="eastAsia" w:ascii="仿宋_GB2312" w:eastAsia="仿宋_GB2312"/>
          <w:sz w:val="24"/>
          <w:szCs w:val="24"/>
        </w:rPr>
        <w:t>）</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r>
        <w:rPr>
          <w:rFonts w:hint="eastAsia" w:ascii="仿宋_GB2312" w:eastAsia="仿宋_GB2312"/>
          <w:sz w:val="24"/>
          <w:szCs w:val="24"/>
        </w:rPr>
        <w:t>七、投标人需要提供的其它材料</w:t>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9"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9"/>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w:t>
      </w:r>
      <w:r>
        <w:rPr>
          <w:rFonts w:hint="eastAsia" w:ascii="仿宋_GB2312" w:eastAsia="仿宋_GB2312" w:cs="宋体" w:hAnsiTheme="minorEastAsia"/>
          <w:sz w:val="24"/>
          <w:szCs w:val="24"/>
        </w:rPr>
        <w:t>学校</w:t>
      </w:r>
      <w:r>
        <w:rPr>
          <w:rFonts w:hint="eastAsia" w:ascii="仿宋_GB2312" w:hAnsi="宋体" w:eastAsia="仿宋_GB2312" w:cs="宋体"/>
          <w:sz w:val="24"/>
          <w:szCs w:val="24"/>
        </w:rPr>
        <w:t>采购活动质疑</w:t>
      </w:r>
      <w:r>
        <w:rPr>
          <w:rFonts w:hint="eastAsia" w:ascii="仿宋_GB2312" w:eastAsia="仿宋_GB2312" w:cs="宋体" w:hAnsiTheme="minorEastAsia"/>
          <w:sz w:val="24"/>
          <w:szCs w:val="24"/>
        </w:rPr>
        <w:t>和投诉</w:t>
      </w:r>
      <w:r>
        <w:rPr>
          <w:rFonts w:hint="eastAsia" w:ascii="仿宋_GB2312" w:hAnsi="宋体" w:eastAsia="仿宋_GB2312" w:cs="宋体"/>
          <w:sz w:val="24"/>
          <w:szCs w:val="24"/>
        </w:rPr>
        <w:t>行为，确保采购活动公平竞争、合理运转</w:t>
      </w:r>
      <w:r>
        <w:rPr>
          <w:rFonts w:hint="eastAsia" w:ascii="仿宋_GB2312" w:eastAsia="仿宋_GB2312" w:cs="宋体" w:hAnsiTheme="minorEastAsia"/>
          <w:sz w:val="24"/>
          <w:szCs w:val="24"/>
        </w:rPr>
        <w:t>，</w:t>
      </w:r>
      <w:r>
        <w:rPr>
          <w:rFonts w:hint="eastAsia" w:ascii="仿宋_GB2312" w:hAnsi="宋体" w:eastAsia="仿宋_GB2312" w:cs="宋体"/>
          <w:sz w:val="24"/>
          <w:szCs w:val="24"/>
        </w:rPr>
        <w:t>保护参加</w:t>
      </w:r>
      <w:r>
        <w:rPr>
          <w:rFonts w:hint="eastAsia" w:ascii="仿宋_GB2312" w:eastAsia="仿宋_GB2312" w:cs="宋体" w:hAnsiTheme="minorEastAsia"/>
          <w:sz w:val="24"/>
          <w:szCs w:val="24"/>
        </w:rPr>
        <w:t>学校采购活动当事人的</w:t>
      </w:r>
      <w:r>
        <w:rPr>
          <w:rFonts w:hint="eastAsia" w:ascii="仿宋_GB2312" w:hAnsi="宋体" w:eastAsia="仿宋_GB2312" w:cs="宋体"/>
          <w:sz w:val="24"/>
          <w:szCs w:val="24"/>
        </w:rPr>
        <w:t>合法权益，根据《中华人民共和国政府采购法》</w:t>
      </w:r>
      <w:r>
        <w:rPr>
          <w:rFonts w:hint="eastAsia" w:ascii="仿宋_GB2312" w:eastAsia="仿宋_GB2312" w:cs="宋体" w:hAnsiTheme="minorEastAsia"/>
          <w:sz w:val="24"/>
          <w:szCs w:val="24"/>
        </w:rPr>
        <w:t>、《中华人民共和国政府采购法实施条例》、</w:t>
      </w:r>
      <w:r>
        <w:rPr>
          <w:rFonts w:hint="eastAsia" w:ascii="仿宋_GB2312" w:hAnsi="宋体" w:eastAsia="仿宋_GB2312" w:cs="宋体"/>
          <w:sz w:val="24"/>
          <w:szCs w:val="24"/>
        </w:rPr>
        <w:t>《政府采购</w:t>
      </w:r>
      <w:r>
        <w:rPr>
          <w:rFonts w:hint="eastAsia" w:ascii="仿宋_GB2312" w:eastAsia="仿宋_GB2312" w:cs="宋体" w:hAnsiTheme="minorEastAsia"/>
          <w:sz w:val="24"/>
          <w:szCs w:val="24"/>
        </w:rPr>
        <w:t>质疑和投诉</w:t>
      </w:r>
      <w:r>
        <w:rPr>
          <w:rFonts w:hint="eastAsia" w:ascii="仿宋_GB2312" w:hAnsi="宋体" w:eastAsia="仿宋_GB2312" w:cs="宋体"/>
          <w:sz w:val="24"/>
          <w:szCs w:val="24"/>
        </w:rPr>
        <w:t>办法》（财政部</w:t>
      </w:r>
      <w:r>
        <w:rPr>
          <w:rFonts w:hint="eastAsia" w:ascii="仿宋_GB2312" w:eastAsia="仿宋_GB2312" w:cs="宋体" w:hAnsiTheme="minorEastAsia"/>
          <w:sz w:val="24"/>
          <w:szCs w:val="24"/>
        </w:rPr>
        <w:t>令</w:t>
      </w:r>
      <w:r>
        <w:rPr>
          <w:rFonts w:hint="eastAsia" w:ascii="仿宋_GB2312" w:hAnsi="宋体" w:eastAsia="仿宋_GB2312" w:cs="宋体"/>
          <w:sz w:val="24"/>
          <w:szCs w:val="24"/>
        </w:rPr>
        <w:t>第</w:t>
      </w:r>
      <w:r>
        <w:rPr>
          <w:rFonts w:hint="eastAsia" w:ascii="仿宋_GB2312" w:eastAsia="仿宋_GB2312" w:cs="宋体" w:hAnsiTheme="minorEastAsia"/>
          <w:sz w:val="24"/>
          <w:szCs w:val="24"/>
        </w:rPr>
        <w:t>94</w:t>
      </w:r>
      <w:r>
        <w:rPr>
          <w:rFonts w:hint="eastAsia" w:ascii="仿宋_GB2312" w:hAnsi="宋体" w:eastAsia="仿宋_GB2312" w:cs="宋体"/>
          <w:sz w:val="24"/>
          <w:szCs w:val="24"/>
        </w:rPr>
        <w:t>号）</w:t>
      </w:r>
      <w:r>
        <w:rPr>
          <w:rFonts w:hint="eastAsia" w:ascii="仿宋_GB2312" w:eastAsia="仿宋_GB2312" w:cs="宋体" w:hAnsiTheme="minorEastAsia"/>
          <w:sz w:val="24"/>
          <w:szCs w:val="24"/>
        </w:rPr>
        <w:t>和安徽省政府有关文件</w:t>
      </w:r>
      <w:r>
        <w:rPr>
          <w:rFonts w:hint="eastAsia" w:ascii="仿宋_GB2312" w:hAnsi="宋体" w:eastAsia="仿宋_GB2312" w:cs="宋体"/>
          <w:sz w:val="24"/>
          <w:szCs w:val="24"/>
        </w:rPr>
        <w:t>精神，</w:t>
      </w:r>
      <w:r>
        <w:rPr>
          <w:rFonts w:hint="eastAsia" w:ascii="仿宋_GB2312" w:eastAsia="仿宋_GB2312" w:cs="宋体" w:hAnsiTheme="minorEastAsia"/>
          <w:sz w:val="24"/>
          <w:szCs w:val="24"/>
        </w:rPr>
        <w:t>结合学校实际，</w:t>
      </w:r>
      <w:r>
        <w:rPr>
          <w:rFonts w:hint="eastAsia" w:ascii="仿宋_GB2312" w:hAnsi="宋体" w:eastAsia="仿宋_GB2312" w:cs="宋体"/>
          <w:sz w:val="24"/>
          <w:szCs w:val="24"/>
        </w:rPr>
        <w:t>制定本办法。</w:t>
      </w:r>
    </w:p>
    <w:p>
      <w:pPr>
        <w:spacing w:line="560" w:lineRule="exact"/>
        <w:ind w:firstLine="482" w:firstLineChars="200"/>
        <w:rPr>
          <w:rFonts w:ascii="仿宋_GB2312" w:eastAsia="仿宋_GB2312" w:cs="宋体" w:hAnsiTheme="minorEastAsia"/>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w:t>
      </w:r>
      <w:r>
        <w:rPr>
          <w:rFonts w:hint="eastAsia" w:ascii="仿宋_GB2312" w:eastAsia="仿宋_GB2312" w:cs="宋体" w:hAnsiTheme="minorEastAsia"/>
          <w:sz w:val="24"/>
          <w:szCs w:val="24"/>
        </w:rPr>
        <w:t>本办法适用于</w:t>
      </w:r>
      <w:bookmarkStart w:id="140" w:name="OLE_LINK2"/>
      <w:bookmarkStart w:id="141" w:name="OLE_LINK3"/>
      <w:bookmarkStart w:id="142" w:name="OLE_LINK1"/>
      <w:r>
        <w:rPr>
          <w:rFonts w:hint="eastAsia" w:ascii="仿宋_GB2312" w:eastAsia="仿宋_GB2312" w:cs="宋体" w:hAnsiTheme="minorEastAsia"/>
          <w:sz w:val="24"/>
          <w:szCs w:val="24"/>
        </w:rPr>
        <w:t>学校采购活动</w:t>
      </w:r>
      <w:bookmarkEnd w:id="140"/>
      <w:bookmarkEnd w:id="141"/>
      <w:bookmarkEnd w:id="142"/>
      <w:r>
        <w:rPr>
          <w:rFonts w:hint="eastAsia" w:ascii="仿宋_GB2312" w:eastAsia="仿宋_GB2312" w:cs="宋体" w:hAnsiTheme="minorEastAsia"/>
          <w:sz w:val="24"/>
          <w:szCs w:val="24"/>
        </w:rPr>
        <w:t>质疑的提出和答复、投诉的提起和处理。</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第三条</w:t>
      </w:r>
      <w:r>
        <w:rPr>
          <w:rFonts w:hint="eastAsia" w:ascii="仿宋_GB2312" w:eastAsia="仿宋_GB2312" w:hAnsiTheme="minorEastAsia"/>
          <w:sz w:val="24"/>
          <w:szCs w:val="24"/>
        </w:rPr>
        <w:t xml:space="preserve">  学校政府采购中的集中采购和分散采购项目质疑的提出与答复和投诉</w:t>
      </w:r>
      <w:r>
        <w:rPr>
          <w:rFonts w:hint="eastAsia" w:ascii="仿宋_GB2312" w:eastAsia="仿宋_GB2312"/>
          <w:sz w:val="24"/>
          <w:szCs w:val="24"/>
        </w:rPr>
        <w:t>的提起与处理</w:t>
      </w:r>
      <w:r>
        <w:rPr>
          <w:rFonts w:hint="eastAsia" w:ascii="仿宋_GB2312" w:eastAsia="仿宋_GB2312" w:hAnsiTheme="minorEastAsia"/>
          <w:sz w:val="24"/>
          <w:szCs w:val="24"/>
        </w:rPr>
        <w:t>遵照《</w:t>
      </w:r>
      <w:r>
        <w:rPr>
          <w:rFonts w:hint="eastAsia" w:ascii="仿宋_GB2312" w:eastAsia="仿宋_GB2312"/>
          <w:sz w:val="24"/>
          <w:szCs w:val="24"/>
        </w:rPr>
        <w:t>政府采购</w:t>
      </w:r>
      <w:r>
        <w:rPr>
          <w:rFonts w:hint="eastAsia" w:ascii="仿宋_GB2312" w:eastAsia="仿宋_GB2312" w:hAnsiTheme="minorEastAsia"/>
          <w:sz w:val="24"/>
          <w:szCs w:val="24"/>
        </w:rPr>
        <w:t>质疑和投诉</w:t>
      </w:r>
      <w:r>
        <w:rPr>
          <w:rFonts w:hint="eastAsia" w:ascii="仿宋_GB2312" w:eastAsia="仿宋_GB2312"/>
          <w:sz w:val="24"/>
          <w:szCs w:val="24"/>
        </w:rPr>
        <w:t>办法》（财政部</w:t>
      </w:r>
      <w:r>
        <w:rPr>
          <w:rFonts w:hint="eastAsia" w:ascii="仿宋_GB2312" w:eastAsia="仿宋_GB2312" w:hAnsiTheme="minorEastAsia"/>
          <w:sz w:val="24"/>
          <w:szCs w:val="24"/>
        </w:rPr>
        <w:t>令</w:t>
      </w:r>
      <w:r>
        <w:rPr>
          <w:rFonts w:hint="eastAsia" w:ascii="仿宋_GB2312" w:eastAsia="仿宋_GB2312"/>
          <w:sz w:val="24"/>
          <w:szCs w:val="24"/>
        </w:rPr>
        <w:t>第</w:t>
      </w:r>
      <w:r>
        <w:rPr>
          <w:rFonts w:hint="eastAsia" w:ascii="仿宋_GB2312" w:eastAsia="仿宋_GB2312" w:hAnsiTheme="minorEastAsia"/>
          <w:sz w:val="24"/>
          <w:szCs w:val="24"/>
        </w:rPr>
        <w:t>94</w:t>
      </w:r>
      <w:r>
        <w:rPr>
          <w:rFonts w:hint="eastAsia" w:ascii="仿宋_GB2312" w:eastAsia="仿宋_GB2312"/>
          <w:sz w:val="24"/>
          <w:szCs w:val="24"/>
        </w:rPr>
        <w:t>号）</w:t>
      </w:r>
      <w:r>
        <w:rPr>
          <w:rFonts w:hint="eastAsia" w:ascii="仿宋_GB2312" w:eastAsia="仿宋_GB2312" w:hAnsiTheme="minorEastAsia"/>
          <w:sz w:val="24"/>
          <w:szCs w:val="24"/>
        </w:rPr>
        <w:t>和安徽省有关</w:t>
      </w:r>
      <w:r>
        <w:rPr>
          <w:rFonts w:hint="eastAsia" w:ascii="仿宋_GB2312" w:eastAsia="仿宋_GB2312"/>
          <w:sz w:val="24"/>
          <w:szCs w:val="24"/>
        </w:rPr>
        <w:t>规定执行，上级政策如有调整，按最新政策规定执行。</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第四条</w:t>
      </w:r>
      <w:r>
        <w:rPr>
          <w:rFonts w:hint="eastAsia" w:ascii="仿宋_GB2312" w:eastAsia="仿宋_GB2312" w:cs="宋体" w:hAnsiTheme="minorEastAsia"/>
          <w:sz w:val="24"/>
          <w:szCs w:val="24"/>
        </w:rPr>
        <w:t xml:space="preserve">  供应商提出质疑和投诉应当坚持依法依规、诚实信用原则。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第五条</w:t>
      </w:r>
      <w:r>
        <w:rPr>
          <w:rFonts w:hint="eastAsia" w:ascii="仿宋_GB2312" w:eastAsia="仿宋_GB2312" w:cs="宋体" w:hAnsiTheme="minorEastAsia"/>
          <w:sz w:val="24"/>
          <w:szCs w:val="24"/>
        </w:rPr>
        <w:t xml:space="preserve">  采购质疑答复和投诉处理应当坚持依法依规、权责对等、公平公正、简便高效原则。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第六条</w:t>
      </w:r>
      <w:r>
        <w:rPr>
          <w:rFonts w:hint="eastAsia" w:ascii="仿宋_GB2312" w:eastAsia="仿宋_GB2312" w:cs="宋体" w:hAnsiTheme="minorEastAsia"/>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学校监察处负责接受和处理校内自主采购项目的投诉。</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第七条</w:t>
      </w:r>
      <w:r>
        <w:rPr>
          <w:rFonts w:hint="eastAsia" w:ascii="仿宋_GB2312" w:eastAsia="仿宋_GB2312" w:cs="宋体" w:hAnsiTheme="minorEastAsia"/>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第八条</w:t>
      </w:r>
      <w:r>
        <w:rPr>
          <w:rFonts w:hint="eastAsia" w:ascii="仿宋_GB2312" w:eastAsia="仿宋_GB2312" w:cs="宋体" w:hAnsiTheme="minorEastAsia"/>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代理人提出质疑和投诉，应当提交供应商签署的授权委托书。</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第九条</w:t>
      </w:r>
      <w:r>
        <w:rPr>
          <w:rFonts w:hint="eastAsia" w:ascii="仿宋_GB2312" w:eastAsia="仿宋_GB2312" w:cs="宋体" w:hAnsiTheme="minorEastAsia"/>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eastAsia="仿宋_GB2312" w:cs="宋体" w:hAnsiTheme="minorEastAsia"/>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eastAsia="仿宋_GB2312" w:cs="宋体" w:hAnsiTheme="minorEastAsia"/>
          <w:sz w:val="30"/>
          <w:szCs w:val="30"/>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43" w:name="OLE_LINK9"/>
      <w:bookmarkStart w:id="144" w:name="OLE_LINK8"/>
      <w:bookmarkStart w:id="145" w:name="OLE_LINK6"/>
      <w:bookmarkStart w:id="146" w:name="OLE_LINK5"/>
      <w:bookmarkStart w:id="147" w:name="OLE_LINK4"/>
      <w:bookmarkStart w:id="148" w:name="OLE_LINK7"/>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bookmarkEnd w:id="143"/>
      <w:bookmarkEnd w:id="144"/>
      <w:bookmarkEnd w:id="145"/>
      <w:bookmarkEnd w:id="146"/>
      <w:bookmarkEnd w:id="147"/>
      <w:bookmarkEnd w:id="148"/>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第十一条</w:t>
      </w:r>
      <w:r>
        <w:rPr>
          <w:rFonts w:hint="eastAsia" w:ascii="仿宋_GB2312" w:eastAsia="仿宋_GB2312" w:hAnsiTheme="minorEastAsia"/>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，提出质疑的供应商（以下简称质疑供应商）应当是参与所质疑项目采购活动的供应商。</w:t>
      </w:r>
    </w:p>
    <w:p>
      <w:pPr>
        <w:spacing w:line="560" w:lineRule="exact"/>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潜在供应商已依法依规获取其可质疑的采购文件的，可以对该文件提出质疑。对采购文件提出质疑的，应当在采购文件规定的时间内提出。 </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宋体" w:eastAsia="仿宋_GB2312" w:cs="宋体"/>
          <w:sz w:val="24"/>
          <w:szCs w:val="24"/>
        </w:rPr>
        <w:t>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质疑答复应当包括下列内容：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eastAsia="仿宋_GB2312" w:cs="宋体" w:hAnsiTheme="minorEastAsia"/>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9" w:name="OLE_LINK78"/>
      <w:bookmarkStart w:id="150" w:name="OLE_LINK77"/>
      <w:bookmarkStart w:id="151" w:name="OLE_LINK76"/>
      <w:r>
        <w:rPr>
          <w:rFonts w:hint="eastAsia" w:ascii="仿宋_GB2312" w:hAnsi="微软雅黑" w:eastAsia="仿宋_GB2312"/>
          <w:sz w:val="24"/>
          <w:szCs w:val="24"/>
        </w:rPr>
        <w:t>国资处、采购代理机构</w:t>
      </w:r>
      <w:bookmarkEnd w:id="149"/>
      <w:bookmarkEnd w:id="150"/>
      <w:bookmarkEnd w:id="151"/>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投诉人投诉时,应当提交投诉书和必要的证明材料。投诉书应当包括下列内容：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18"/>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3"/>
          <w:rFonts w:hint="eastAsia" w:ascii="黑体" w:hAnsi="黑体" w:eastAsia="黑体"/>
          <w:sz w:val="30"/>
          <w:szCs w:val="30"/>
        </w:rPr>
        <w:t xml:space="preserve">第五章 </w:t>
      </w:r>
      <w:r>
        <w:rPr>
          <w:rStyle w:val="23"/>
          <w:rFonts w:hint="eastAsia" w:ascii="微软雅黑" w:hAnsi="微软雅黑" w:eastAsia="黑体"/>
          <w:sz w:val="30"/>
          <w:szCs w:val="30"/>
        </w:rPr>
        <w:t> </w:t>
      </w:r>
      <w:r>
        <w:rPr>
          <w:rStyle w:val="23"/>
          <w:rFonts w:hint="eastAsia" w:ascii="黑体" w:hAnsi="黑体" w:eastAsia="黑体"/>
          <w:sz w:val="30"/>
          <w:szCs w:val="30"/>
        </w:rPr>
        <w:t>投诉的处理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52" w:name="OLE_LINK13"/>
      <w:bookmarkStart w:id="153" w:name="OLE_LINK11"/>
      <w:bookmarkStart w:id="154" w:name="OLE_LINK12"/>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2"/>
      <w:bookmarkEnd w:id="153"/>
      <w:bookmarkEnd w:id="154"/>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55" w:name="OLE_LINK14"/>
      <w:bookmarkStart w:id="156" w:name="OLE_LINK15"/>
      <w:r>
        <w:rPr>
          <w:rFonts w:hint="eastAsia" w:ascii="仿宋_GB2312" w:hAnsi="微软雅黑" w:eastAsia="仿宋_GB2312"/>
          <w:sz w:val="24"/>
          <w:szCs w:val="24"/>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55"/>
    <w:bookmarkEnd w:id="156"/>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18"/>
        <w:shd w:val="clear" w:color="auto" w:fill="FFFFFF"/>
        <w:adjustRightInd w:val="0"/>
        <w:snapToGrid w:val="0"/>
        <w:spacing w:before="0" w:beforeAutospacing="0" w:after="0" w:afterAutospacing="0" w:line="560" w:lineRule="exact"/>
        <w:jc w:val="center"/>
        <w:rPr>
          <w:rStyle w:val="23"/>
          <w:rFonts w:ascii="仿宋_GB2312" w:hAnsi="微软雅黑" w:eastAsia="仿宋_GB2312"/>
          <w:sz w:val="24"/>
          <w:szCs w:val="24"/>
        </w:rPr>
      </w:pPr>
    </w:p>
    <w:p>
      <w:pPr>
        <w:pStyle w:val="18"/>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3"/>
          <w:rFonts w:hint="eastAsia" w:ascii="黑体" w:hAnsi="黑体" w:eastAsia="黑体"/>
          <w:sz w:val="30"/>
          <w:szCs w:val="30"/>
        </w:rPr>
        <w:t xml:space="preserve">第六章 </w:t>
      </w:r>
      <w:r>
        <w:rPr>
          <w:rStyle w:val="23"/>
          <w:rFonts w:hint="eastAsia" w:ascii="微软雅黑" w:hAnsi="微软雅黑" w:eastAsia="黑体"/>
          <w:sz w:val="30"/>
          <w:szCs w:val="30"/>
        </w:rPr>
        <w:t> </w:t>
      </w:r>
      <w:r>
        <w:rPr>
          <w:rStyle w:val="23"/>
          <w:rFonts w:hint="eastAsia" w:ascii="黑体" w:hAnsi="黑体" w:eastAsia="黑体"/>
          <w:sz w:val="30"/>
          <w:szCs w:val="30"/>
        </w:rPr>
        <w:t>法律责任</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23"/>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7" w:name="OLE_LINK16"/>
      <w:bookmarkStart w:id="158" w:name="OLE_LINK18"/>
      <w:bookmarkStart w:id="159" w:name="OLE_LINK17"/>
      <w:r>
        <w:rPr>
          <w:rFonts w:hint="eastAsia" w:ascii="仿宋_GB2312" w:hAnsi="宋体" w:eastAsia="仿宋_GB2312" w:cs="宋体"/>
          <w:sz w:val="24"/>
          <w:szCs w:val="24"/>
        </w:rPr>
        <w:t>规</w:t>
      </w:r>
      <w:bookmarkEnd w:id="157"/>
      <w:bookmarkEnd w:id="158"/>
      <w:bookmarkEnd w:id="159"/>
      <w:r>
        <w:rPr>
          <w:rFonts w:hint="eastAsia" w:ascii="仿宋_GB2312" w:hAnsi="宋体" w:eastAsia="仿宋_GB2312" w:cs="宋体"/>
          <w:sz w:val="24"/>
          <w:szCs w:val="24"/>
        </w:rPr>
        <w:t>追究其相应责任。</w:t>
      </w:r>
    </w:p>
    <w:p>
      <w:pPr>
        <w:pStyle w:val="18"/>
        <w:shd w:val="clear" w:color="auto" w:fill="FFFFFF"/>
        <w:adjustRightInd w:val="0"/>
        <w:snapToGrid w:val="0"/>
        <w:spacing w:before="0" w:beforeAutospacing="0" w:after="0" w:afterAutospacing="0" w:line="560" w:lineRule="exact"/>
        <w:ind w:firstLine="482" w:firstLineChars="200"/>
        <w:jc w:val="both"/>
        <w:rPr>
          <w:rStyle w:val="23"/>
          <w:rFonts w:ascii="仿宋_GB2312" w:hAnsi="微软雅黑" w:eastAsia="仿宋_GB2312"/>
          <w:sz w:val="24"/>
          <w:szCs w:val="24"/>
        </w:rPr>
      </w:pPr>
      <w:r>
        <w:rPr>
          <w:rStyle w:val="23"/>
          <w:rFonts w:hint="eastAsia" w:ascii="仿宋_GB2312" w:hAnsi="微软雅黑" w:eastAsia="仿宋_GB2312"/>
          <w:sz w:val="24"/>
          <w:szCs w:val="24"/>
        </w:rPr>
        <w:t>　</w:t>
      </w:r>
    </w:p>
    <w:p>
      <w:pPr>
        <w:pStyle w:val="18"/>
        <w:shd w:val="clear" w:color="auto" w:fill="FFFFFF"/>
        <w:adjustRightInd w:val="0"/>
        <w:snapToGrid w:val="0"/>
        <w:spacing w:before="0" w:beforeAutospacing="0" w:after="0" w:afterAutospacing="0" w:line="560" w:lineRule="exact"/>
        <w:jc w:val="center"/>
        <w:rPr>
          <w:rStyle w:val="23"/>
          <w:rFonts w:ascii="黑体" w:hAnsi="黑体" w:eastAsia="黑体"/>
          <w:sz w:val="24"/>
          <w:szCs w:val="24"/>
        </w:rPr>
      </w:pPr>
      <w:r>
        <w:rPr>
          <w:rStyle w:val="23"/>
          <w:rFonts w:hint="eastAsia" w:ascii="黑体" w:hAnsi="黑体" w:eastAsia="黑体"/>
          <w:sz w:val="24"/>
          <w:szCs w:val="24"/>
        </w:rPr>
        <w:t xml:space="preserve">第七章 </w:t>
      </w:r>
      <w:r>
        <w:rPr>
          <w:rStyle w:val="23"/>
          <w:rFonts w:hint="eastAsia" w:ascii="微软雅黑" w:hAnsi="微软雅黑" w:eastAsia="黑体"/>
          <w:sz w:val="24"/>
          <w:szCs w:val="24"/>
        </w:rPr>
        <w:t> </w:t>
      </w:r>
      <w:r>
        <w:rPr>
          <w:rStyle w:val="23"/>
          <w:rFonts w:hint="eastAsia" w:ascii="黑体" w:hAnsi="黑体" w:eastAsia="黑体"/>
          <w:sz w:val="24"/>
          <w:szCs w:val="24"/>
        </w:rPr>
        <w:t>附则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Theme="minorEastAsia" w:hAnsiTheme="minorEastAsia" w:eastAsiaTheme="minorEastAsia"/>
          <w:b/>
          <w:sz w:val="30"/>
          <w:szCs w:val="30"/>
        </w:rPr>
      </w:pPr>
      <w:r>
        <w:rPr>
          <w:rFonts w:hint="eastAsia" w:asciiTheme="minorEastAsia" w:hAnsiTheme="minorEastAsia" w:eastAsiaTheme="minorEastAsia"/>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4"/>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E31C66"/>
    <w:multiLevelType w:val="singleLevel"/>
    <w:tmpl w:val="EDE31C66"/>
    <w:lvl w:ilvl="0" w:tentative="0">
      <w:start w:val="5"/>
      <w:numFmt w:val="chineseCounting"/>
      <w:suff w:val="space"/>
      <w:lvlText w:val="第%1章"/>
      <w:lvlJc w:val="left"/>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28"/>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29"/>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0"/>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4809"/>
    <w:rsid w:val="00167162"/>
    <w:rsid w:val="001703B9"/>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520"/>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52EA0"/>
    <w:rsid w:val="00253084"/>
    <w:rsid w:val="002558D5"/>
    <w:rsid w:val="00257024"/>
    <w:rsid w:val="00261227"/>
    <w:rsid w:val="00263614"/>
    <w:rsid w:val="002679E3"/>
    <w:rsid w:val="00270053"/>
    <w:rsid w:val="00270964"/>
    <w:rsid w:val="002715B7"/>
    <w:rsid w:val="00272628"/>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46E8B"/>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9AF"/>
    <w:rsid w:val="003A3478"/>
    <w:rsid w:val="003A794F"/>
    <w:rsid w:val="003A7DF3"/>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0EF2"/>
    <w:rsid w:val="004239F5"/>
    <w:rsid w:val="00423F69"/>
    <w:rsid w:val="0042556D"/>
    <w:rsid w:val="00426F76"/>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591"/>
    <w:rsid w:val="005C7E59"/>
    <w:rsid w:val="005D1546"/>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678CC"/>
    <w:rsid w:val="00670418"/>
    <w:rsid w:val="00672C2F"/>
    <w:rsid w:val="006733DF"/>
    <w:rsid w:val="00673AF2"/>
    <w:rsid w:val="006742A6"/>
    <w:rsid w:val="006774A7"/>
    <w:rsid w:val="00681C46"/>
    <w:rsid w:val="0068287D"/>
    <w:rsid w:val="006844BA"/>
    <w:rsid w:val="0068485A"/>
    <w:rsid w:val="00686A3C"/>
    <w:rsid w:val="0069130E"/>
    <w:rsid w:val="006930D6"/>
    <w:rsid w:val="00694664"/>
    <w:rsid w:val="00696B74"/>
    <w:rsid w:val="006A0842"/>
    <w:rsid w:val="006A1690"/>
    <w:rsid w:val="006A28FE"/>
    <w:rsid w:val="006A44C6"/>
    <w:rsid w:val="006A5E3A"/>
    <w:rsid w:val="006B014D"/>
    <w:rsid w:val="006B2C5F"/>
    <w:rsid w:val="006B3E39"/>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5075"/>
    <w:rsid w:val="006E5253"/>
    <w:rsid w:val="006E5C73"/>
    <w:rsid w:val="006E6048"/>
    <w:rsid w:val="006E7053"/>
    <w:rsid w:val="006F588B"/>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27B45"/>
    <w:rsid w:val="00735788"/>
    <w:rsid w:val="00735BA4"/>
    <w:rsid w:val="00737EC0"/>
    <w:rsid w:val="0074259D"/>
    <w:rsid w:val="0074270E"/>
    <w:rsid w:val="007434E4"/>
    <w:rsid w:val="00744CA7"/>
    <w:rsid w:val="00744F24"/>
    <w:rsid w:val="0075148A"/>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D670C"/>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57597"/>
    <w:rsid w:val="0086035C"/>
    <w:rsid w:val="008631F1"/>
    <w:rsid w:val="00870454"/>
    <w:rsid w:val="008734F8"/>
    <w:rsid w:val="0087389B"/>
    <w:rsid w:val="008740F7"/>
    <w:rsid w:val="00874DC8"/>
    <w:rsid w:val="008818C9"/>
    <w:rsid w:val="00883039"/>
    <w:rsid w:val="00885DDE"/>
    <w:rsid w:val="00887800"/>
    <w:rsid w:val="00890717"/>
    <w:rsid w:val="00891545"/>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B73C2"/>
    <w:rsid w:val="008C3135"/>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704A"/>
    <w:rsid w:val="00931FD5"/>
    <w:rsid w:val="00934AA7"/>
    <w:rsid w:val="00942ACE"/>
    <w:rsid w:val="00942E73"/>
    <w:rsid w:val="00944026"/>
    <w:rsid w:val="00952073"/>
    <w:rsid w:val="00952451"/>
    <w:rsid w:val="00952BDD"/>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533"/>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37E86"/>
    <w:rsid w:val="00A416AA"/>
    <w:rsid w:val="00A46332"/>
    <w:rsid w:val="00A50D5B"/>
    <w:rsid w:val="00A5603D"/>
    <w:rsid w:val="00A60D37"/>
    <w:rsid w:val="00A61ADF"/>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62D1"/>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46423"/>
    <w:rsid w:val="00C5229F"/>
    <w:rsid w:val="00C52A4C"/>
    <w:rsid w:val="00C549C3"/>
    <w:rsid w:val="00C54B26"/>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23242"/>
    <w:rsid w:val="00D23B91"/>
    <w:rsid w:val="00D2556F"/>
    <w:rsid w:val="00D269BF"/>
    <w:rsid w:val="00D30028"/>
    <w:rsid w:val="00D3196D"/>
    <w:rsid w:val="00D36FD3"/>
    <w:rsid w:val="00D377D9"/>
    <w:rsid w:val="00D40125"/>
    <w:rsid w:val="00D44D4F"/>
    <w:rsid w:val="00D46FE7"/>
    <w:rsid w:val="00D53F1B"/>
    <w:rsid w:val="00D53F7F"/>
    <w:rsid w:val="00D548B2"/>
    <w:rsid w:val="00D56E1B"/>
    <w:rsid w:val="00D5797D"/>
    <w:rsid w:val="00D62A34"/>
    <w:rsid w:val="00D632A9"/>
    <w:rsid w:val="00D67019"/>
    <w:rsid w:val="00D8074E"/>
    <w:rsid w:val="00D837A7"/>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0D06"/>
    <w:rsid w:val="00DD3583"/>
    <w:rsid w:val="00DE2318"/>
    <w:rsid w:val="00DF127A"/>
    <w:rsid w:val="00E036D8"/>
    <w:rsid w:val="00E05189"/>
    <w:rsid w:val="00E11000"/>
    <w:rsid w:val="00E11E8C"/>
    <w:rsid w:val="00E14555"/>
    <w:rsid w:val="00E16171"/>
    <w:rsid w:val="00E20202"/>
    <w:rsid w:val="00E2053A"/>
    <w:rsid w:val="00E274A4"/>
    <w:rsid w:val="00E278B4"/>
    <w:rsid w:val="00E27B59"/>
    <w:rsid w:val="00E30B7F"/>
    <w:rsid w:val="00E328EB"/>
    <w:rsid w:val="00E378C6"/>
    <w:rsid w:val="00E5087F"/>
    <w:rsid w:val="00E50EC0"/>
    <w:rsid w:val="00E5149D"/>
    <w:rsid w:val="00E515A1"/>
    <w:rsid w:val="00E54912"/>
    <w:rsid w:val="00E55313"/>
    <w:rsid w:val="00E622C0"/>
    <w:rsid w:val="00E6360C"/>
    <w:rsid w:val="00E636E6"/>
    <w:rsid w:val="00E643D7"/>
    <w:rsid w:val="00E646B7"/>
    <w:rsid w:val="00E65A46"/>
    <w:rsid w:val="00E70538"/>
    <w:rsid w:val="00E70862"/>
    <w:rsid w:val="00E722C2"/>
    <w:rsid w:val="00E77ACA"/>
    <w:rsid w:val="00E8067F"/>
    <w:rsid w:val="00E806CE"/>
    <w:rsid w:val="00E8143D"/>
    <w:rsid w:val="00E8264E"/>
    <w:rsid w:val="00E85D12"/>
    <w:rsid w:val="00E86793"/>
    <w:rsid w:val="00E87E01"/>
    <w:rsid w:val="00E90128"/>
    <w:rsid w:val="00E92B31"/>
    <w:rsid w:val="00E93B88"/>
    <w:rsid w:val="00EA15B1"/>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4137"/>
    <w:rsid w:val="00F855B8"/>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0A29DC"/>
    <w:rsid w:val="012C73DD"/>
    <w:rsid w:val="012D0479"/>
    <w:rsid w:val="014F43EC"/>
    <w:rsid w:val="016862B7"/>
    <w:rsid w:val="017936BE"/>
    <w:rsid w:val="01BE6661"/>
    <w:rsid w:val="01D152A8"/>
    <w:rsid w:val="0234138D"/>
    <w:rsid w:val="025739FF"/>
    <w:rsid w:val="026558D4"/>
    <w:rsid w:val="028D7421"/>
    <w:rsid w:val="029A4FF3"/>
    <w:rsid w:val="029F0AF2"/>
    <w:rsid w:val="030D62FF"/>
    <w:rsid w:val="03141F6C"/>
    <w:rsid w:val="03311E12"/>
    <w:rsid w:val="03375366"/>
    <w:rsid w:val="03525361"/>
    <w:rsid w:val="039A654E"/>
    <w:rsid w:val="039E6B3C"/>
    <w:rsid w:val="03CD1A41"/>
    <w:rsid w:val="03D51D9B"/>
    <w:rsid w:val="04031D92"/>
    <w:rsid w:val="04435167"/>
    <w:rsid w:val="049B5628"/>
    <w:rsid w:val="04A72032"/>
    <w:rsid w:val="04BD144B"/>
    <w:rsid w:val="04C7316C"/>
    <w:rsid w:val="04FF48D9"/>
    <w:rsid w:val="057B43B4"/>
    <w:rsid w:val="05884CB4"/>
    <w:rsid w:val="0605426F"/>
    <w:rsid w:val="061B6B4D"/>
    <w:rsid w:val="0642001F"/>
    <w:rsid w:val="064603E8"/>
    <w:rsid w:val="06465B2E"/>
    <w:rsid w:val="064E0672"/>
    <w:rsid w:val="06A12781"/>
    <w:rsid w:val="06BD5FB2"/>
    <w:rsid w:val="073E427C"/>
    <w:rsid w:val="074C2609"/>
    <w:rsid w:val="07C7068F"/>
    <w:rsid w:val="07EB29B1"/>
    <w:rsid w:val="07FA0A50"/>
    <w:rsid w:val="08901A19"/>
    <w:rsid w:val="08C11D7D"/>
    <w:rsid w:val="08FD615D"/>
    <w:rsid w:val="09385DBB"/>
    <w:rsid w:val="09770B13"/>
    <w:rsid w:val="098552F6"/>
    <w:rsid w:val="09C504E0"/>
    <w:rsid w:val="09CD0A4B"/>
    <w:rsid w:val="0A00497C"/>
    <w:rsid w:val="0A052A50"/>
    <w:rsid w:val="0A075D0B"/>
    <w:rsid w:val="0A717FE3"/>
    <w:rsid w:val="0A7643BA"/>
    <w:rsid w:val="0A8201EC"/>
    <w:rsid w:val="0A9E5C23"/>
    <w:rsid w:val="0AC8599B"/>
    <w:rsid w:val="0AE75B3C"/>
    <w:rsid w:val="0B01585A"/>
    <w:rsid w:val="0B761E8C"/>
    <w:rsid w:val="0B8A12F6"/>
    <w:rsid w:val="0B995089"/>
    <w:rsid w:val="0BA92DF2"/>
    <w:rsid w:val="0BD23C85"/>
    <w:rsid w:val="0BD43149"/>
    <w:rsid w:val="0BDE2831"/>
    <w:rsid w:val="0BE711B7"/>
    <w:rsid w:val="0BEB55D7"/>
    <w:rsid w:val="0BEB5B52"/>
    <w:rsid w:val="0C0A7D34"/>
    <w:rsid w:val="0C4122C6"/>
    <w:rsid w:val="0C452F99"/>
    <w:rsid w:val="0C48523E"/>
    <w:rsid w:val="0C767683"/>
    <w:rsid w:val="0CA13D98"/>
    <w:rsid w:val="0CAA1A45"/>
    <w:rsid w:val="0CF27A72"/>
    <w:rsid w:val="0D111D71"/>
    <w:rsid w:val="0D2210AE"/>
    <w:rsid w:val="0D3C3F3E"/>
    <w:rsid w:val="0D3D494A"/>
    <w:rsid w:val="0DA21DF1"/>
    <w:rsid w:val="0DAF0B93"/>
    <w:rsid w:val="0DAF2814"/>
    <w:rsid w:val="0DD00D67"/>
    <w:rsid w:val="0DEA2E68"/>
    <w:rsid w:val="0E1704E7"/>
    <w:rsid w:val="0E2974C8"/>
    <w:rsid w:val="0E486157"/>
    <w:rsid w:val="0E533361"/>
    <w:rsid w:val="0E8A515C"/>
    <w:rsid w:val="0EB0555E"/>
    <w:rsid w:val="0F17262A"/>
    <w:rsid w:val="0F184409"/>
    <w:rsid w:val="0F2D2F2A"/>
    <w:rsid w:val="0F335DE5"/>
    <w:rsid w:val="0F563291"/>
    <w:rsid w:val="0F60075C"/>
    <w:rsid w:val="0FB80153"/>
    <w:rsid w:val="101A1D40"/>
    <w:rsid w:val="1055212B"/>
    <w:rsid w:val="107C2B34"/>
    <w:rsid w:val="10890C6B"/>
    <w:rsid w:val="109C7EF6"/>
    <w:rsid w:val="10C97052"/>
    <w:rsid w:val="113969C6"/>
    <w:rsid w:val="11991213"/>
    <w:rsid w:val="11C10E95"/>
    <w:rsid w:val="12577DE7"/>
    <w:rsid w:val="129A6110"/>
    <w:rsid w:val="131D034D"/>
    <w:rsid w:val="134A432B"/>
    <w:rsid w:val="135875D7"/>
    <w:rsid w:val="13693C7B"/>
    <w:rsid w:val="136A2985"/>
    <w:rsid w:val="13BA3DEE"/>
    <w:rsid w:val="13CB41F1"/>
    <w:rsid w:val="13FA68E0"/>
    <w:rsid w:val="1411676A"/>
    <w:rsid w:val="14215A6F"/>
    <w:rsid w:val="14447FCD"/>
    <w:rsid w:val="144B29A7"/>
    <w:rsid w:val="145853B5"/>
    <w:rsid w:val="14590ACC"/>
    <w:rsid w:val="145A48EA"/>
    <w:rsid w:val="149C4209"/>
    <w:rsid w:val="14B54789"/>
    <w:rsid w:val="14C763A1"/>
    <w:rsid w:val="152572C1"/>
    <w:rsid w:val="153831C7"/>
    <w:rsid w:val="15507A01"/>
    <w:rsid w:val="1598015F"/>
    <w:rsid w:val="159E22A5"/>
    <w:rsid w:val="1615277C"/>
    <w:rsid w:val="16157A01"/>
    <w:rsid w:val="16556050"/>
    <w:rsid w:val="16936093"/>
    <w:rsid w:val="16B0772A"/>
    <w:rsid w:val="16CD7B2B"/>
    <w:rsid w:val="16F30C91"/>
    <w:rsid w:val="16F40907"/>
    <w:rsid w:val="172F4AF3"/>
    <w:rsid w:val="175B1CF1"/>
    <w:rsid w:val="177B1AE6"/>
    <w:rsid w:val="178935E9"/>
    <w:rsid w:val="178C57AD"/>
    <w:rsid w:val="17B94649"/>
    <w:rsid w:val="17E47C7C"/>
    <w:rsid w:val="17F92C94"/>
    <w:rsid w:val="180C273E"/>
    <w:rsid w:val="181D629B"/>
    <w:rsid w:val="183D5197"/>
    <w:rsid w:val="18BA0052"/>
    <w:rsid w:val="18D23988"/>
    <w:rsid w:val="19160617"/>
    <w:rsid w:val="192C4113"/>
    <w:rsid w:val="193C6734"/>
    <w:rsid w:val="19A51228"/>
    <w:rsid w:val="19B412DF"/>
    <w:rsid w:val="19D00D40"/>
    <w:rsid w:val="19DF19D9"/>
    <w:rsid w:val="1A1E3E96"/>
    <w:rsid w:val="1A29563E"/>
    <w:rsid w:val="1A6738AE"/>
    <w:rsid w:val="1A9E547C"/>
    <w:rsid w:val="1AAA0930"/>
    <w:rsid w:val="1AD05CA5"/>
    <w:rsid w:val="1BB94558"/>
    <w:rsid w:val="1BC577D4"/>
    <w:rsid w:val="1BD63C07"/>
    <w:rsid w:val="1C0273B8"/>
    <w:rsid w:val="1C077DEC"/>
    <w:rsid w:val="1C094564"/>
    <w:rsid w:val="1C183DA8"/>
    <w:rsid w:val="1C4A7F6D"/>
    <w:rsid w:val="1C7134B8"/>
    <w:rsid w:val="1C9C3D0A"/>
    <w:rsid w:val="1CA61D97"/>
    <w:rsid w:val="1CC36D54"/>
    <w:rsid w:val="1CC873F9"/>
    <w:rsid w:val="1D813BCE"/>
    <w:rsid w:val="1D8D3B97"/>
    <w:rsid w:val="1DA353B0"/>
    <w:rsid w:val="1DB47A3E"/>
    <w:rsid w:val="1DE60AB3"/>
    <w:rsid w:val="1DEC3165"/>
    <w:rsid w:val="1E0C16EA"/>
    <w:rsid w:val="1E0D7E12"/>
    <w:rsid w:val="1E104638"/>
    <w:rsid w:val="1E6E3532"/>
    <w:rsid w:val="1E86350C"/>
    <w:rsid w:val="1EA93F70"/>
    <w:rsid w:val="1ED56DD3"/>
    <w:rsid w:val="1ED83327"/>
    <w:rsid w:val="1EDB753D"/>
    <w:rsid w:val="1EE57DD0"/>
    <w:rsid w:val="1F647385"/>
    <w:rsid w:val="1FD3340F"/>
    <w:rsid w:val="1FD95964"/>
    <w:rsid w:val="20547378"/>
    <w:rsid w:val="20783067"/>
    <w:rsid w:val="20AD2E15"/>
    <w:rsid w:val="20AF2801"/>
    <w:rsid w:val="20E406FC"/>
    <w:rsid w:val="20FA01BB"/>
    <w:rsid w:val="21224DDA"/>
    <w:rsid w:val="214747E7"/>
    <w:rsid w:val="214E201A"/>
    <w:rsid w:val="216A2301"/>
    <w:rsid w:val="219C35B5"/>
    <w:rsid w:val="21AF7E11"/>
    <w:rsid w:val="21EF7359"/>
    <w:rsid w:val="22467258"/>
    <w:rsid w:val="225476F0"/>
    <w:rsid w:val="22AC1F99"/>
    <w:rsid w:val="22C0162A"/>
    <w:rsid w:val="23384D2F"/>
    <w:rsid w:val="234E2E43"/>
    <w:rsid w:val="235A5649"/>
    <w:rsid w:val="23742E23"/>
    <w:rsid w:val="239067FA"/>
    <w:rsid w:val="23AD35C5"/>
    <w:rsid w:val="23C55C0A"/>
    <w:rsid w:val="23CC306F"/>
    <w:rsid w:val="23D24DEB"/>
    <w:rsid w:val="23D33CAB"/>
    <w:rsid w:val="240D7F6A"/>
    <w:rsid w:val="242263FD"/>
    <w:rsid w:val="24255F8E"/>
    <w:rsid w:val="24436BE8"/>
    <w:rsid w:val="246B5259"/>
    <w:rsid w:val="247C7A8B"/>
    <w:rsid w:val="24B623B0"/>
    <w:rsid w:val="24D207BC"/>
    <w:rsid w:val="25304C68"/>
    <w:rsid w:val="25337596"/>
    <w:rsid w:val="253E2C4D"/>
    <w:rsid w:val="25466F1A"/>
    <w:rsid w:val="254C5D85"/>
    <w:rsid w:val="256A4BA7"/>
    <w:rsid w:val="257A3122"/>
    <w:rsid w:val="25B42B33"/>
    <w:rsid w:val="25C831C6"/>
    <w:rsid w:val="26111954"/>
    <w:rsid w:val="261543E8"/>
    <w:rsid w:val="261E4592"/>
    <w:rsid w:val="26420A5D"/>
    <w:rsid w:val="265A1F39"/>
    <w:rsid w:val="26764AB1"/>
    <w:rsid w:val="26A36964"/>
    <w:rsid w:val="26C01D59"/>
    <w:rsid w:val="26F84351"/>
    <w:rsid w:val="26FB0214"/>
    <w:rsid w:val="270633B2"/>
    <w:rsid w:val="270C052C"/>
    <w:rsid w:val="27430E2D"/>
    <w:rsid w:val="275F0ADD"/>
    <w:rsid w:val="27AE42A3"/>
    <w:rsid w:val="27BF5A1F"/>
    <w:rsid w:val="27C602C7"/>
    <w:rsid w:val="27F03E2A"/>
    <w:rsid w:val="285917E7"/>
    <w:rsid w:val="286018A1"/>
    <w:rsid w:val="287763BE"/>
    <w:rsid w:val="28A6098D"/>
    <w:rsid w:val="28B766F6"/>
    <w:rsid w:val="28FE4844"/>
    <w:rsid w:val="294837F2"/>
    <w:rsid w:val="29573A19"/>
    <w:rsid w:val="2961426B"/>
    <w:rsid w:val="29770888"/>
    <w:rsid w:val="297B5554"/>
    <w:rsid w:val="29A90AA3"/>
    <w:rsid w:val="29DB3439"/>
    <w:rsid w:val="2A402E34"/>
    <w:rsid w:val="2A85258B"/>
    <w:rsid w:val="2AFA67C3"/>
    <w:rsid w:val="2B100144"/>
    <w:rsid w:val="2B3F2232"/>
    <w:rsid w:val="2B6A6E5A"/>
    <w:rsid w:val="2B6E5B01"/>
    <w:rsid w:val="2BD06081"/>
    <w:rsid w:val="2C166459"/>
    <w:rsid w:val="2C330A62"/>
    <w:rsid w:val="2C8E5BB9"/>
    <w:rsid w:val="2CA376BD"/>
    <w:rsid w:val="2CDD4252"/>
    <w:rsid w:val="2E656F48"/>
    <w:rsid w:val="2E682316"/>
    <w:rsid w:val="2E8E7EF9"/>
    <w:rsid w:val="2E923CE7"/>
    <w:rsid w:val="2EA339A5"/>
    <w:rsid w:val="2EAE46E1"/>
    <w:rsid w:val="2ED26038"/>
    <w:rsid w:val="2EFF6ADF"/>
    <w:rsid w:val="2F0957D2"/>
    <w:rsid w:val="2F1228D8"/>
    <w:rsid w:val="2F1235FA"/>
    <w:rsid w:val="2F740F38"/>
    <w:rsid w:val="2FA05C87"/>
    <w:rsid w:val="2FBA674A"/>
    <w:rsid w:val="2FCB6082"/>
    <w:rsid w:val="2FEF34C6"/>
    <w:rsid w:val="304C1E1A"/>
    <w:rsid w:val="305807BF"/>
    <w:rsid w:val="30595624"/>
    <w:rsid w:val="30682029"/>
    <w:rsid w:val="307C62BC"/>
    <w:rsid w:val="308F5662"/>
    <w:rsid w:val="30F05E6D"/>
    <w:rsid w:val="31073580"/>
    <w:rsid w:val="31261645"/>
    <w:rsid w:val="312E7229"/>
    <w:rsid w:val="315B4B3B"/>
    <w:rsid w:val="316656C1"/>
    <w:rsid w:val="31C81974"/>
    <w:rsid w:val="31CB42E5"/>
    <w:rsid w:val="31F07E99"/>
    <w:rsid w:val="32143562"/>
    <w:rsid w:val="3221311C"/>
    <w:rsid w:val="325C64CE"/>
    <w:rsid w:val="3284740C"/>
    <w:rsid w:val="33175BD1"/>
    <w:rsid w:val="336D4581"/>
    <w:rsid w:val="3370124E"/>
    <w:rsid w:val="33BA11B8"/>
    <w:rsid w:val="33C65C0C"/>
    <w:rsid w:val="342F5CDB"/>
    <w:rsid w:val="349A13A6"/>
    <w:rsid w:val="34A63463"/>
    <w:rsid w:val="34C32CC7"/>
    <w:rsid w:val="35013235"/>
    <w:rsid w:val="35383CDF"/>
    <w:rsid w:val="355E5437"/>
    <w:rsid w:val="356B634F"/>
    <w:rsid w:val="35842EDE"/>
    <w:rsid w:val="358D2630"/>
    <w:rsid w:val="35BB71F1"/>
    <w:rsid w:val="35F77E5F"/>
    <w:rsid w:val="36177727"/>
    <w:rsid w:val="36440DAE"/>
    <w:rsid w:val="36611AB0"/>
    <w:rsid w:val="3667620A"/>
    <w:rsid w:val="369264A4"/>
    <w:rsid w:val="3694235F"/>
    <w:rsid w:val="36B32945"/>
    <w:rsid w:val="36C02D57"/>
    <w:rsid w:val="36CD677B"/>
    <w:rsid w:val="36E74AE9"/>
    <w:rsid w:val="3761378B"/>
    <w:rsid w:val="376E55E1"/>
    <w:rsid w:val="376F2B88"/>
    <w:rsid w:val="37F05F4D"/>
    <w:rsid w:val="37FA17BE"/>
    <w:rsid w:val="3813700C"/>
    <w:rsid w:val="382E5B94"/>
    <w:rsid w:val="3832489A"/>
    <w:rsid w:val="383D471C"/>
    <w:rsid w:val="386553C4"/>
    <w:rsid w:val="386A5B0B"/>
    <w:rsid w:val="389A279F"/>
    <w:rsid w:val="38DE1A7D"/>
    <w:rsid w:val="391D0313"/>
    <w:rsid w:val="3923535C"/>
    <w:rsid w:val="394D7456"/>
    <w:rsid w:val="39605DDA"/>
    <w:rsid w:val="39606DBA"/>
    <w:rsid w:val="396106E4"/>
    <w:rsid w:val="39664FE9"/>
    <w:rsid w:val="396C5CC7"/>
    <w:rsid w:val="397E3BBA"/>
    <w:rsid w:val="39801F40"/>
    <w:rsid w:val="39920C01"/>
    <w:rsid w:val="39D27D8A"/>
    <w:rsid w:val="3A723FE3"/>
    <w:rsid w:val="3AC23BAE"/>
    <w:rsid w:val="3AC42FCC"/>
    <w:rsid w:val="3ACE686B"/>
    <w:rsid w:val="3AD5386A"/>
    <w:rsid w:val="3B267B4A"/>
    <w:rsid w:val="3B583D69"/>
    <w:rsid w:val="3B720D3D"/>
    <w:rsid w:val="3BF35840"/>
    <w:rsid w:val="3BFC0891"/>
    <w:rsid w:val="3C0119CF"/>
    <w:rsid w:val="3C094992"/>
    <w:rsid w:val="3C4542ED"/>
    <w:rsid w:val="3C456F72"/>
    <w:rsid w:val="3C4D62F4"/>
    <w:rsid w:val="3C70758C"/>
    <w:rsid w:val="3CCF6E69"/>
    <w:rsid w:val="3CD40F3A"/>
    <w:rsid w:val="3CE8111C"/>
    <w:rsid w:val="3DA2586F"/>
    <w:rsid w:val="3DB53370"/>
    <w:rsid w:val="3DC32E01"/>
    <w:rsid w:val="3DE36A7E"/>
    <w:rsid w:val="3DEF1977"/>
    <w:rsid w:val="3E261BCA"/>
    <w:rsid w:val="3E4203B8"/>
    <w:rsid w:val="3E593281"/>
    <w:rsid w:val="3E7D12BC"/>
    <w:rsid w:val="3EC936D6"/>
    <w:rsid w:val="3EE51D6B"/>
    <w:rsid w:val="3F2A344A"/>
    <w:rsid w:val="3F3A37F1"/>
    <w:rsid w:val="3F653140"/>
    <w:rsid w:val="3F6E3B5B"/>
    <w:rsid w:val="3F705C0B"/>
    <w:rsid w:val="3FBE7323"/>
    <w:rsid w:val="40063D93"/>
    <w:rsid w:val="401A783F"/>
    <w:rsid w:val="40366C91"/>
    <w:rsid w:val="404B50C8"/>
    <w:rsid w:val="408E7F02"/>
    <w:rsid w:val="40962D22"/>
    <w:rsid w:val="40EE6D55"/>
    <w:rsid w:val="413655D4"/>
    <w:rsid w:val="415162AF"/>
    <w:rsid w:val="418662EF"/>
    <w:rsid w:val="41CE08E1"/>
    <w:rsid w:val="42076C6C"/>
    <w:rsid w:val="425E3D7D"/>
    <w:rsid w:val="4268674F"/>
    <w:rsid w:val="4286740D"/>
    <w:rsid w:val="428D2245"/>
    <w:rsid w:val="429B0441"/>
    <w:rsid w:val="42B06238"/>
    <w:rsid w:val="42E27CE8"/>
    <w:rsid w:val="43340C18"/>
    <w:rsid w:val="43491CBA"/>
    <w:rsid w:val="43752E9F"/>
    <w:rsid w:val="43A10F29"/>
    <w:rsid w:val="43A22025"/>
    <w:rsid w:val="43A722C2"/>
    <w:rsid w:val="43AE20BA"/>
    <w:rsid w:val="43D1290A"/>
    <w:rsid w:val="43DE6DD5"/>
    <w:rsid w:val="43E16179"/>
    <w:rsid w:val="442F455C"/>
    <w:rsid w:val="445C3546"/>
    <w:rsid w:val="44D206E8"/>
    <w:rsid w:val="44E64193"/>
    <w:rsid w:val="44E8660C"/>
    <w:rsid w:val="45117D80"/>
    <w:rsid w:val="452C63D9"/>
    <w:rsid w:val="45480536"/>
    <w:rsid w:val="45963A0B"/>
    <w:rsid w:val="45AA241A"/>
    <w:rsid w:val="45CE2522"/>
    <w:rsid w:val="46114D68"/>
    <w:rsid w:val="464473C4"/>
    <w:rsid w:val="4646138E"/>
    <w:rsid w:val="464650EE"/>
    <w:rsid w:val="464D67FE"/>
    <w:rsid w:val="46683202"/>
    <w:rsid w:val="4675644E"/>
    <w:rsid w:val="46AE6F33"/>
    <w:rsid w:val="46D72281"/>
    <w:rsid w:val="47196039"/>
    <w:rsid w:val="47571E54"/>
    <w:rsid w:val="476D6EBA"/>
    <w:rsid w:val="479B635A"/>
    <w:rsid w:val="47B14163"/>
    <w:rsid w:val="47CF2DE3"/>
    <w:rsid w:val="47E677B3"/>
    <w:rsid w:val="481717F0"/>
    <w:rsid w:val="48707695"/>
    <w:rsid w:val="48BD0E84"/>
    <w:rsid w:val="48F40AE2"/>
    <w:rsid w:val="49063724"/>
    <w:rsid w:val="49727DEF"/>
    <w:rsid w:val="49975779"/>
    <w:rsid w:val="49C634CB"/>
    <w:rsid w:val="4A06781F"/>
    <w:rsid w:val="4A136DA0"/>
    <w:rsid w:val="4A145BA1"/>
    <w:rsid w:val="4A80398B"/>
    <w:rsid w:val="4AA2518A"/>
    <w:rsid w:val="4AD67CC5"/>
    <w:rsid w:val="4B246E03"/>
    <w:rsid w:val="4B422DC5"/>
    <w:rsid w:val="4B4F4691"/>
    <w:rsid w:val="4B527B10"/>
    <w:rsid w:val="4B8935FD"/>
    <w:rsid w:val="4B9F4711"/>
    <w:rsid w:val="4BA104E5"/>
    <w:rsid w:val="4C0A278F"/>
    <w:rsid w:val="4C1752E8"/>
    <w:rsid w:val="4C934A75"/>
    <w:rsid w:val="4CB42DC9"/>
    <w:rsid w:val="4CD01D68"/>
    <w:rsid w:val="4CD92F09"/>
    <w:rsid w:val="4CF43425"/>
    <w:rsid w:val="4D1421C5"/>
    <w:rsid w:val="4D534390"/>
    <w:rsid w:val="4D555C8B"/>
    <w:rsid w:val="4D6308F3"/>
    <w:rsid w:val="4D6D1C95"/>
    <w:rsid w:val="4D810EFD"/>
    <w:rsid w:val="4E066723"/>
    <w:rsid w:val="4E27437C"/>
    <w:rsid w:val="4E4B52BE"/>
    <w:rsid w:val="4E911844"/>
    <w:rsid w:val="4EF745D9"/>
    <w:rsid w:val="4F4B4713"/>
    <w:rsid w:val="4F4D6CEF"/>
    <w:rsid w:val="4F5D557B"/>
    <w:rsid w:val="4F6750D3"/>
    <w:rsid w:val="4F6D437D"/>
    <w:rsid w:val="4F8B4EB5"/>
    <w:rsid w:val="4F927265"/>
    <w:rsid w:val="504E4367"/>
    <w:rsid w:val="50885D57"/>
    <w:rsid w:val="50981E5C"/>
    <w:rsid w:val="50BF160A"/>
    <w:rsid w:val="510F685B"/>
    <w:rsid w:val="511F2F07"/>
    <w:rsid w:val="512B4E2E"/>
    <w:rsid w:val="513B2511"/>
    <w:rsid w:val="51A445C0"/>
    <w:rsid w:val="51A97276"/>
    <w:rsid w:val="52996089"/>
    <w:rsid w:val="52A706A9"/>
    <w:rsid w:val="52EA4358"/>
    <w:rsid w:val="53226CDE"/>
    <w:rsid w:val="53320361"/>
    <w:rsid w:val="53642888"/>
    <w:rsid w:val="539A0E95"/>
    <w:rsid w:val="53B637A9"/>
    <w:rsid w:val="53B65D6E"/>
    <w:rsid w:val="53B91C07"/>
    <w:rsid w:val="545C7FCE"/>
    <w:rsid w:val="548D462B"/>
    <w:rsid w:val="54947454"/>
    <w:rsid w:val="54B419FB"/>
    <w:rsid w:val="54BB52C5"/>
    <w:rsid w:val="54C22377"/>
    <w:rsid w:val="54C84207"/>
    <w:rsid w:val="54FB7F1E"/>
    <w:rsid w:val="5544780D"/>
    <w:rsid w:val="555667CB"/>
    <w:rsid w:val="55676C2B"/>
    <w:rsid w:val="5579789F"/>
    <w:rsid w:val="559E6018"/>
    <w:rsid w:val="55D624BF"/>
    <w:rsid w:val="55DB27AC"/>
    <w:rsid w:val="561D6382"/>
    <w:rsid w:val="5628091A"/>
    <w:rsid w:val="562D3258"/>
    <w:rsid w:val="56367E06"/>
    <w:rsid w:val="563B4985"/>
    <w:rsid w:val="5661694F"/>
    <w:rsid w:val="56D553A9"/>
    <w:rsid w:val="56FA6E69"/>
    <w:rsid w:val="5727718D"/>
    <w:rsid w:val="57572801"/>
    <w:rsid w:val="577859F7"/>
    <w:rsid w:val="57B65C47"/>
    <w:rsid w:val="57CF7087"/>
    <w:rsid w:val="57EB259F"/>
    <w:rsid w:val="580A0881"/>
    <w:rsid w:val="58360A82"/>
    <w:rsid w:val="584B2834"/>
    <w:rsid w:val="587B6449"/>
    <w:rsid w:val="587C3A91"/>
    <w:rsid w:val="58D00A02"/>
    <w:rsid w:val="58D5034F"/>
    <w:rsid w:val="592E2905"/>
    <w:rsid w:val="593764C8"/>
    <w:rsid w:val="59530390"/>
    <w:rsid w:val="59925604"/>
    <w:rsid w:val="59A36566"/>
    <w:rsid w:val="59B14918"/>
    <w:rsid w:val="59C6543A"/>
    <w:rsid w:val="59E314E1"/>
    <w:rsid w:val="5A1751F0"/>
    <w:rsid w:val="5A8A796A"/>
    <w:rsid w:val="5A8E4C59"/>
    <w:rsid w:val="5A9A35FE"/>
    <w:rsid w:val="5ADF60F3"/>
    <w:rsid w:val="5B001E53"/>
    <w:rsid w:val="5B060C94"/>
    <w:rsid w:val="5B0D3E3C"/>
    <w:rsid w:val="5B1A53C6"/>
    <w:rsid w:val="5B2E4542"/>
    <w:rsid w:val="5B963814"/>
    <w:rsid w:val="5BAC7B28"/>
    <w:rsid w:val="5BB04D30"/>
    <w:rsid w:val="5BC76675"/>
    <w:rsid w:val="5BD743DE"/>
    <w:rsid w:val="5C44058D"/>
    <w:rsid w:val="5C49419B"/>
    <w:rsid w:val="5C526290"/>
    <w:rsid w:val="5C5617A7"/>
    <w:rsid w:val="5C7B120D"/>
    <w:rsid w:val="5C981DBF"/>
    <w:rsid w:val="5CAB11F3"/>
    <w:rsid w:val="5CBF1B3C"/>
    <w:rsid w:val="5CD728E8"/>
    <w:rsid w:val="5CFB10A2"/>
    <w:rsid w:val="5D6323CD"/>
    <w:rsid w:val="5DBF1736"/>
    <w:rsid w:val="5DDE32C3"/>
    <w:rsid w:val="5E5717C3"/>
    <w:rsid w:val="5E690773"/>
    <w:rsid w:val="5E877A7D"/>
    <w:rsid w:val="5EC614D8"/>
    <w:rsid w:val="5F1A4CA9"/>
    <w:rsid w:val="5F2931A3"/>
    <w:rsid w:val="5F3F4AC9"/>
    <w:rsid w:val="5F660F3F"/>
    <w:rsid w:val="5F7F60A4"/>
    <w:rsid w:val="5FCA30FF"/>
    <w:rsid w:val="5FDD22C1"/>
    <w:rsid w:val="600C4ED2"/>
    <w:rsid w:val="60456D6B"/>
    <w:rsid w:val="609C4318"/>
    <w:rsid w:val="60A26B25"/>
    <w:rsid w:val="60DF3930"/>
    <w:rsid w:val="60EB6A42"/>
    <w:rsid w:val="61025F9A"/>
    <w:rsid w:val="61132870"/>
    <w:rsid w:val="6116747B"/>
    <w:rsid w:val="61336898"/>
    <w:rsid w:val="61401063"/>
    <w:rsid w:val="61A73CE8"/>
    <w:rsid w:val="61AA6DA6"/>
    <w:rsid w:val="61C95A0F"/>
    <w:rsid w:val="6220088D"/>
    <w:rsid w:val="622B0BAC"/>
    <w:rsid w:val="62A57383"/>
    <w:rsid w:val="62B527DB"/>
    <w:rsid w:val="62F14B14"/>
    <w:rsid w:val="63055F43"/>
    <w:rsid w:val="63296BD8"/>
    <w:rsid w:val="632B1E94"/>
    <w:rsid w:val="632E57EF"/>
    <w:rsid w:val="633701CE"/>
    <w:rsid w:val="63466D07"/>
    <w:rsid w:val="63C92158"/>
    <w:rsid w:val="63E97909"/>
    <w:rsid w:val="64263C05"/>
    <w:rsid w:val="64656A2B"/>
    <w:rsid w:val="64782246"/>
    <w:rsid w:val="647C570A"/>
    <w:rsid w:val="64867B36"/>
    <w:rsid w:val="64B14FC1"/>
    <w:rsid w:val="64C52428"/>
    <w:rsid w:val="65E9231B"/>
    <w:rsid w:val="65EA26BD"/>
    <w:rsid w:val="661B62C8"/>
    <w:rsid w:val="664E059A"/>
    <w:rsid w:val="6663343E"/>
    <w:rsid w:val="66DF7FAC"/>
    <w:rsid w:val="66EC7942"/>
    <w:rsid w:val="672032FF"/>
    <w:rsid w:val="67380427"/>
    <w:rsid w:val="67393EF5"/>
    <w:rsid w:val="67B03125"/>
    <w:rsid w:val="67B11FEE"/>
    <w:rsid w:val="68000A1A"/>
    <w:rsid w:val="68185610"/>
    <w:rsid w:val="683416CD"/>
    <w:rsid w:val="683D2155"/>
    <w:rsid w:val="68704A27"/>
    <w:rsid w:val="688A7038"/>
    <w:rsid w:val="69064624"/>
    <w:rsid w:val="690976CF"/>
    <w:rsid w:val="691B6F1A"/>
    <w:rsid w:val="694B4C0D"/>
    <w:rsid w:val="69BB32F2"/>
    <w:rsid w:val="69C441F4"/>
    <w:rsid w:val="69EA1150"/>
    <w:rsid w:val="69EC4F13"/>
    <w:rsid w:val="6A016CF4"/>
    <w:rsid w:val="6A0E5F3C"/>
    <w:rsid w:val="6A1A027C"/>
    <w:rsid w:val="6A4F103E"/>
    <w:rsid w:val="6A9A27BB"/>
    <w:rsid w:val="6ADD27BF"/>
    <w:rsid w:val="6B0A20DA"/>
    <w:rsid w:val="6B0C7706"/>
    <w:rsid w:val="6B2C02A3"/>
    <w:rsid w:val="6B6C28FE"/>
    <w:rsid w:val="6B8026C9"/>
    <w:rsid w:val="6BA72C9D"/>
    <w:rsid w:val="6BD54DEF"/>
    <w:rsid w:val="6BDC55EA"/>
    <w:rsid w:val="6C1B1B37"/>
    <w:rsid w:val="6C845C4E"/>
    <w:rsid w:val="6D0222A2"/>
    <w:rsid w:val="6D251352"/>
    <w:rsid w:val="6D6001EC"/>
    <w:rsid w:val="6D613624"/>
    <w:rsid w:val="6DC55B94"/>
    <w:rsid w:val="6DD71A9B"/>
    <w:rsid w:val="6DE21FFF"/>
    <w:rsid w:val="6DE24C48"/>
    <w:rsid w:val="6DF1085F"/>
    <w:rsid w:val="6E1A6AD8"/>
    <w:rsid w:val="6E267403"/>
    <w:rsid w:val="6E602011"/>
    <w:rsid w:val="6E6B580B"/>
    <w:rsid w:val="6EAB4F77"/>
    <w:rsid w:val="6EB24C6B"/>
    <w:rsid w:val="6ED443D0"/>
    <w:rsid w:val="6EDD5FA4"/>
    <w:rsid w:val="6EE113A4"/>
    <w:rsid w:val="6F032A2F"/>
    <w:rsid w:val="6F06705D"/>
    <w:rsid w:val="6F2D534C"/>
    <w:rsid w:val="6F4638AE"/>
    <w:rsid w:val="6F4F3566"/>
    <w:rsid w:val="6FCD5FD7"/>
    <w:rsid w:val="7014426C"/>
    <w:rsid w:val="701C509C"/>
    <w:rsid w:val="70AC5BC0"/>
    <w:rsid w:val="70E32271"/>
    <w:rsid w:val="70F2774D"/>
    <w:rsid w:val="71031F5C"/>
    <w:rsid w:val="710903AB"/>
    <w:rsid w:val="711B59D1"/>
    <w:rsid w:val="71505C18"/>
    <w:rsid w:val="71570EDA"/>
    <w:rsid w:val="71792D3A"/>
    <w:rsid w:val="719B73E5"/>
    <w:rsid w:val="71BB7720"/>
    <w:rsid w:val="71C35DEF"/>
    <w:rsid w:val="71C86E42"/>
    <w:rsid w:val="71CA504D"/>
    <w:rsid w:val="722A12B4"/>
    <w:rsid w:val="72CC4119"/>
    <w:rsid w:val="72F45BD1"/>
    <w:rsid w:val="73236BEB"/>
    <w:rsid w:val="733A5A8F"/>
    <w:rsid w:val="737F2386"/>
    <w:rsid w:val="73C75AC5"/>
    <w:rsid w:val="73CD0DC6"/>
    <w:rsid w:val="73CF0426"/>
    <w:rsid w:val="73D76192"/>
    <w:rsid w:val="73E6120B"/>
    <w:rsid w:val="741100B1"/>
    <w:rsid w:val="74261BA4"/>
    <w:rsid w:val="742D188E"/>
    <w:rsid w:val="7449599C"/>
    <w:rsid w:val="74714F78"/>
    <w:rsid w:val="74856C75"/>
    <w:rsid w:val="74A75798"/>
    <w:rsid w:val="751A50CF"/>
    <w:rsid w:val="752D0CA5"/>
    <w:rsid w:val="755873D9"/>
    <w:rsid w:val="75DE3297"/>
    <w:rsid w:val="75F33D2B"/>
    <w:rsid w:val="760C5540"/>
    <w:rsid w:val="760E1C9B"/>
    <w:rsid w:val="761622A3"/>
    <w:rsid w:val="761F16E1"/>
    <w:rsid w:val="762B237E"/>
    <w:rsid w:val="76342F98"/>
    <w:rsid w:val="765134FE"/>
    <w:rsid w:val="76520169"/>
    <w:rsid w:val="765C66BE"/>
    <w:rsid w:val="76850AE5"/>
    <w:rsid w:val="76B760AB"/>
    <w:rsid w:val="76D501AF"/>
    <w:rsid w:val="77494238"/>
    <w:rsid w:val="774A6F53"/>
    <w:rsid w:val="776C38C3"/>
    <w:rsid w:val="778C5F42"/>
    <w:rsid w:val="77975072"/>
    <w:rsid w:val="77B54B7B"/>
    <w:rsid w:val="77F6065F"/>
    <w:rsid w:val="780D746C"/>
    <w:rsid w:val="78104AA8"/>
    <w:rsid w:val="782F2C9A"/>
    <w:rsid w:val="784C22F5"/>
    <w:rsid w:val="784D77A7"/>
    <w:rsid w:val="785C7CED"/>
    <w:rsid w:val="787E2228"/>
    <w:rsid w:val="78822F94"/>
    <w:rsid w:val="78A3798C"/>
    <w:rsid w:val="78C935D5"/>
    <w:rsid w:val="79273753"/>
    <w:rsid w:val="79560EFA"/>
    <w:rsid w:val="79C2618F"/>
    <w:rsid w:val="79C552C3"/>
    <w:rsid w:val="79DB6C56"/>
    <w:rsid w:val="7A426EF4"/>
    <w:rsid w:val="7A5C6C08"/>
    <w:rsid w:val="7ACA3634"/>
    <w:rsid w:val="7AD102FF"/>
    <w:rsid w:val="7B260951"/>
    <w:rsid w:val="7B485D83"/>
    <w:rsid w:val="7B950000"/>
    <w:rsid w:val="7B9B540A"/>
    <w:rsid w:val="7BA571B0"/>
    <w:rsid w:val="7BE91FDA"/>
    <w:rsid w:val="7C0A460F"/>
    <w:rsid w:val="7C2C0CD2"/>
    <w:rsid w:val="7C2D6999"/>
    <w:rsid w:val="7C2E74EC"/>
    <w:rsid w:val="7C4249B0"/>
    <w:rsid w:val="7C491964"/>
    <w:rsid w:val="7C51399F"/>
    <w:rsid w:val="7C5D1037"/>
    <w:rsid w:val="7C7B0712"/>
    <w:rsid w:val="7CB15915"/>
    <w:rsid w:val="7CCE7338"/>
    <w:rsid w:val="7CFE1757"/>
    <w:rsid w:val="7D1E420E"/>
    <w:rsid w:val="7D2A660C"/>
    <w:rsid w:val="7D697134"/>
    <w:rsid w:val="7D9A149C"/>
    <w:rsid w:val="7DE056DF"/>
    <w:rsid w:val="7DE727DC"/>
    <w:rsid w:val="7E167BC7"/>
    <w:rsid w:val="7E24305B"/>
    <w:rsid w:val="7E3239CA"/>
    <w:rsid w:val="7E413C0D"/>
    <w:rsid w:val="7E735C74"/>
    <w:rsid w:val="7E7622AF"/>
    <w:rsid w:val="7E7727BA"/>
    <w:rsid w:val="7EAD578E"/>
    <w:rsid w:val="7F89227A"/>
    <w:rsid w:val="7F8F211F"/>
    <w:rsid w:val="7FB87EFF"/>
    <w:rsid w:val="7FBB4E71"/>
    <w:rsid w:val="7FC10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33"/>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35"/>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3"/>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46"/>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7">
    <w:name w:val="heading 5"/>
    <w:basedOn w:val="1"/>
    <w:next w:val="1"/>
    <w:link w:val="47"/>
    <w:unhideWhenUsed/>
    <w:qFormat/>
    <w:uiPriority w:val="9"/>
    <w:pPr>
      <w:keepNext/>
      <w:keepLines/>
      <w:spacing w:before="280" w:after="290" w:line="376" w:lineRule="auto"/>
      <w:outlineLvl w:val="4"/>
    </w:pPr>
    <w:rPr>
      <w:b/>
      <w:bCs/>
      <w:szCs w:val="28"/>
    </w:rPr>
  </w:style>
  <w:style w:type="paragraph" w:styleId="8">
    <w:name w:val="heading 6"/>
    <w:basedOn w:val="1"/>
    <w:next w:val="1"/>
    <w:link w:val="48"/>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9">
    <w:name w:val="heading 7"/>
    <w:basedOn w:val="1"/>
    <w:next w:val="1"/>
    <w:link w:val="49"/>
    <w:semiHidden/>
    <w:unhideWhenUsed/>
    <w:qFormat/>
    <w:uiPriority w:val="9"/>
    <w:pPr>
      <w:keepNext/>
      <w:keepLines/>
      <w:spacing w:before="240" w:after="64" w:line="320" w:lineRule="auto"/>
      <w:outlineLvl w:val="6"/>
    </w:pPr>
    <w:rPr>
      <w:b/>
      <w:bCs/>
      <w:sz w:val="24"/>
      <w:szCs w:val="24"/>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line="0" w:lineRule="atLeast"/>
    </w:pPr>
    <w:rPr>
      <w:rFonts w:ascii="Arial" w:hAnsi="Arial" w:eastAsia="隶书"/>
      <w:b/>
      <w:spacing w:val="-20"/>
      <w:sz w:val="52"/>
      <w:szCs w:val="20"/>
    </w:rPr>
  </w:style>
  <w:style w:type="paragraph" w:styleId="10">
    <w:name w:val="Body Text Indent"/>
    <w:basedOn w:val="1"/>
    <w:link w:val="36"/>
    <w:qFormat/>
    <w:uiPriority w:val="0"/>
    <w:pPr>
      <w:spacing w:line="200" w:lineRule="atLeast"/>
      <w:ind w:firstLine="301"/>
    </w:pPr>
    <w:rPr>
      <w:rFonts w:ascii="宋体" w:hAnsi="Courier New" w:cstheme="minorBidi"/>
      <w:spacing w:val="-4"/>
      <w:sz w:val="18"/>
      <w:szCs w:val="22"/>
    </w:rPr>
  </w:style>
  <w:style w:type="paragraph" w:styleId="11">
    <w:name w:val="Plain Text"/>
    <w:basedOn w:val="1"/>
    <w:link w:val="41"/>
    <w:qFormat/>
    <w:uiPriority w:val="0"/>
    <w:pPr>
      <w:spacing w:beforeLines="50" w:afterLines="50" w:line="400" w:lineRule="atLeast"/>
    </w:pPr>
    <w:rPr>
      <w:rFonts w:ascii="宋体" w:hAnsi="Courier New" w:cstheme="minorBidi"/>
      <w:sz w:val="24"/>
      <w:szCs w:val="22"/>
    </w:rPr>
  </w:style>
  <w:style w:type="paragraph" w:styleId="12">
    <w:name w:val="Date"/>
    <w:basedOn w:val="1"/>
    <w:next w:val="1"/>
    <w:link w:val="25"/>
    <w:semiHidden/>
    <w:unhideWhenUsed/>
    <w:qFormat/>
    <w:uiPriority w:val="99"/>
    <w:pPr>
      <w:ind w:left="100" w:leftChars="2500"/>
    </w:pPr>
  </w:style>
  <w:style w:type="paragraph" w:styleId="13">
    <w:name w:val="Balloon Text"/>
    <w:basedOn w:val="1"/>
    <w:link w:val="52"/>
    <w:semiHidden/>
    <w:unhideWhenUsed/>
    <w:qFormat/>
    <w:uiPriority w:val="99"/>
    <w:rPr>
      <w:sz w:val="18"/>
      <w:szCs w:val="18"/>
    </w:rPr>
  </w:style>
  <w:style w:type="paragraph" w:styleId="14">
    <w:name w:val="footer"/>
    <w:basedOn w:val="1"/>
    <w:link w:val="45"/>
    <w:unhideWhenUsed/>
    <w:qFormat/>
    <w:uiPriority w:val="99"/>
    <w:pPr>
      <w:tabs>
        <w:tab w:val="center" w:pos="4153"/>
        <w:tab w:val="right" w:pos="8306"/>
      </w:tabs>
      <w:snapToGrid w:val="0"/>
      <w:jc w:val="left"/>
    </w:pPr>
    <w:rPr>
      <w:sz w:val="18"/>
      <w:szCs w:val="18"/>
    </w:rPr>
  </w:style>
  <w:style w:type="paragraph" w:styleId="15">
    <w:name w:val="header"/>
    <w:basedOn w:val="1"/>
    <w:link w:val="4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7">
    <w:name w:val="toc 2"/>
    <w:basedOn w:val="1"/>
    <w:next w:val="1"/>
    <w:unhideWhenUsed/>
    <w:qFormat/>
    <w:uiPriority w:val="39"/>
    <w:pPr>
      <w:ind w:left="420" w:leftChars="200"/>
    </w:pPr>
  </w:style>
  <w:style w:type="paragraph" w:styleId="18">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19">
    <w:name w:val="Title"/>
    <w:basedOn w:val="1"/>
    <w:next w:val="1"/>
    <w:link w:val="34"/>
    <w:qFormat/>
    <w:uiPriority w:val="10"/>
    <w:pPr>
      <w:spacing w:before="240" w:after="60"/>
      <w:jc w:val="center"/>
      <w:outlineLvl w:val="0"/>
    </w:pPr>
    <w:rPr>
      <w:rFonts w:asciiTheme="majorHAnsi" w:hAnsiTheme="majorHAnsi" w:cstheme="majorBidi"/>
      <w:b/>
      <w:bCs/>
      <w:sz w:val="32"/>
      <w:szCs w:val="32"/>
    </w:rPr>
  </w:style>
  <w:style w:type="table" w:styleId="21">
    <w:name w:val="Table Grid"/>
    <w:basedOn w:val="2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Strong"/>
    <w:basedOn w:val="22"/>
    <w:qFormat/>
    <w:uiPriority w:val="0"/>
    <w:rPr>
      <w:b/>
      <w:bCs/>
    </w:rPr>
  </w:style>
  <w:style w:type="character" w:styleId="24">
    <w:name w:val="Hyperlink"/>
    <w:basedOn w:val="22"/>
    <w:unhideWhenUsed/>
    <w:qFormat/>
    <w:uiPriority w:val="99"/>
    <w:rPr>
      <w:color w:val="0000FF" w:themeColor="hyperlink"/>
      <w:u w:val="single"/>
    </w:rPr>
  </w:style>
  <w:style w:type="character" w:customStyle="1" w:styleId="25">
    <w:name w:val="日期 Char"/>
    <w:basedOn w:val="22"/>
    <w:link w:val="12"/>
    <w:semiHidden/>
    <w:qFormat/>
    <w:uiPriority w:val="99"/>
    <w:rPr>
      <w:rFonts w:ascii="Times New Roman" w:hAnsi="Times New Roman" w:eastAsia="宋体" w:cs="Times New Roman"/>
      <w:sz w:val="28"/>
      <w:szCs w:val="20"/>
    </w:rPr>
  </w:style>
  <w:style w:type="paragraph" w:styleId="26">
    <w:name w:val="List Paragraph"/>
    <w:basedOn w:val="1"/>
    <w:link w:val="39"/>
    <w:qFormat/>
    <w:uiPriority w:val="0"/>
    <w:pPr>
      <w:ind w:firstLine="420" w:firstLineChars="200"/>
    </w:pPr>
  </w:style>
  <w:style w:type="paragraph" w:customStyle="1" w:styleId="27">
    <w:name w:val="正文 第一章"/>
    <w:basedOn w:val="1"/>
    <w:next w:val="28"/>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28">
    <w:name w:val="正文 1.1"/>
    <w:basedOn w:val="1"/>
    <w:next w:val="29"/>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29">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0">
    <w:name w:val="第四级"/>
    <w:basedOn w:val="1"/>
    <w:next w:val="31"/>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1">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2">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3">
    <w:name w:val="标题 1 Char"/>
    <w:basedOn w:val="22"/>
    <w:link w:val="3"/>
    <w:qFormat/>
    <w:uiPriority w:val="0"/>
    <w:rPr>
      <w:rFonts w:ascii="宋体" w:hAnsi="Arial" w:eastAsia="黑体" w:cs="Times New Roman"/>
      <w:b/>
      <w:bCs/>
      <w:color w:val="000000"/>
      <w:kern w:val="44"/>
      <w:sz w:val="36"/>
      <w:szCs w:val="32"/>
    </w:rPr>
  </w:style>
  <w:style w:type="character" w:customStyle="1" w:styleId="34">
    <w:name w:val="标题 Char"/>
    <w:basedOn w:val="22"/>
    <w:link w:val="19"/>
    <w:qFormat/>
    <w:uiPriority w:val="10"/>
    <w:rPr>
      <w:rFonts w:eastAsia="宋体" w:asciiTheme="majorHAnsi" w:hAnsiTheme="majorHAnsi" w:cstheme="majorBidi"/>
      <w:b/>
      <w:bCs/>
      <w:sz w:val="32"/>
      <w:szCs w:val="32"/>
    </w:rPr>
  </w:style>
  <w:style w:type="character" w:customStyle="1" w:styleId="35">
    <w:name w:val="标题 2 Char"/>
    <w:basedOn w:val="22"/>
    <w:link w:val="4"/>
    <w:semiHidden/>
    <w:qFormat/>
    <w:uiPriority w:val="9"/>
    <w:rPr>
      <w:rFonts w:asciiTheme="majorHAnsi" w:hAnsiTheme="majorHAnsi" w:eastAsiaTheme="majorEastAsia" w:cstheme="majorBidi"/>
      <w:b/>
      <w:bCs/>
      <w:sz w:val="32"/>
      <w:szCs w:val="32"/>
    </w:rPr>
  </w:style>
  <w:style w:type="character" w:customStyle="1" w:styleId="36">
    <w:name w:val="正文文本缩进 Char"/>
    <w:link w:val="10"/>
    <w:qFormat/>
    <w:locked/>
    <w:uiPriority w:val="0"/>
    <w:rPr>
      <w:rFonts w:ascii="宋体" w:hAnsi="Courier New" w:eastAsia="宋体"/>
      <w:spacing w:val="-4"/>
      <w:sz w:val="18"/>
    </w:rPr>
  </w:style>
  <w:style w:type="character" w:customStyle="1" w:styleId="37">
    <w:name w:val="正文文本缩进 Char1"/>
    <w:basedOn w:val="22"/>
    <w:semiHidden/>
    <w:qFormat/>
    <w:uiPriority w:val="99"/>
    <w:rPr>
      <w:rFonts w:ascii="Times New Roman" w:hAnsi="Times New Roman" w:eastAsia="宋体" w:cs="Times New Roman"/>
      <w:sz w:val="28"/>
      <w:szCs w:val="20"/>
    </w:rPr>
  </w:style>
  <w:style w:type="character" w:customStyle="1" w:styleId="38">
    <w:name w:val="标题 3 Char"/>
    <w:qFormat/>
    <w:uiPriority w:val="0"/>
    <w:rPr>
      <w:rFonts w:eastAsia="宋体"/>
      <w:b/>
      <w:bCs/>
      <w:kern w:val="2"/>
      <w:sz w:val="32"/>
      <w:szCs w:val="32"/>
      <w:lang w:val="en-US" w:eastAsia="zh-CN" w:bidi="ar-SA"/>
    </w:rPr>
  </w:style>
  <w:style w:type="character" w:customStyle="1" w:styleId="39">
    <w:name w:val="列出段落 Char"/>
    <w:link w:val="26"/>
    <w:qFormat/>
    <w:locked/>
    <w:uiPriority w:val="0"/>
    <w:rPr>
      <w:rFonts w:ascii="Times New Roman" w:hAnsi="Times New Roman" w:eastAsia="宋体" w:cs="Times New Roman"/>
      <w:sz w:val="28"/>
      <w:szCs w:val="20"/>
    </w:rPr>
  </w:style>
  <w:style w:type="character" w:customStyle="1" w:styleId="40">
    <w:name w:val="正文 第五章 中间"/>
    <w:qFormat/>
    <w:uiPriority w:val="0"/>
    <w:rPr>
      <w:b/>
      <w:bCs/>
      <w:color w:val="000000"/>
      <w:sz w:val="32"/>
    </w:rPr>
  </w:style>
  <w:style w:type="character" w:customStyle="1" w:styleId="41">
    <w:name w:val="纯文本 Char1"/>
    <w:link w:val="11"/>
    <w:qFormat/>
    <w:uiPriority w:val="0"/>
    <w:rPr>
      <w:rFonts w:ascii="宋体" w:hAnsi="Courier New" w:eastAsia="宋体"/>
      <w:sz w:val="24"/>
    </w:rPr>
  </w:style>
  <w:style w:type="character" w:customStyle="1" w:styleId="42">
    <w:name w:val="纯文本 Char"/>
    <w:basedOn w:val="22"/>
    <w:semiHidden/>
    <w:qFormat/>
    <w:uiPriority w:val="99"/>
    <w:rPr>
      <w:rFonts w:ascii="宋体" w:hAnsi="Courier New" w:eastAsia="宋体" w:cs="Courier New"/>
      <w:szCs w:val="21"/>
    </w:rPr>
  </w:style>
  <w:style w:type="character" w:customStyle="1" w:styleId="43">
    <w:name w:val="标题 3 Char1"/>
    <w:basedOn w:val="22"/>
    <w:link w:val="5"/>
    <w:semiHidden/>
    <w:qFormat/>
    <w:uiPriority w:val="9"/>
    <w:rPr>
      <w:rFonts w:ascii="Times New Roman" w:hAnsi="Times New Roman" w:eastAsia="宋体" w:cs="Times New Roman"/>
      <w:b/>
      <w:bCs/>
      <w:sz w:val="32"/>
      <w:szCs w:val="32"/>
    </w:rPr>
  </w:style>
  <w:style w:type="character" w:customStyle="1" w:styleId="44">
    <w:name w:val="页眉 Char"/>
    <w:basedOn w:val="22"/>
    <w:link w:val="15"/>
    <w:semiHidden/>
    <w:qFormat/>
    <w:uiPriority w:val="99"/>
    <w:rPr>
      <w:rFonts w:ascii="Times New Roman" w:hAnsi="Times New Roman" w:eastAsia="宋体" w:cs="Times New Roman"/>
      <w:sz w:val="18"/>
      <w:szCs w:val="18"/>
    </w:rPr>
  </w:style>
  <w:style w:type="character" w:customStyle="1" w:styleId="45">
    <w:name w:val="页脚 Char"/>
    <w:basedOn w:val="22"/>
    <w:link w:val="14"/>
    <w:qFormat/>
    <w:uiPriority w:val="99"/>
    <w:rPr>
      <w:rFonts w:ascii="Times New Roman" w:hAnsi="Times New Roman" w:eastAsia="宋体" w:cs="Times New Roman"/>
      <w:sz w:val="18"/>
      <w:szCs w:val="18"/>
    </w:rPr>
  </w:style>
  <w:style w:type="character" w:customStyle="1" w:styleId="46">
    <w:name w:val="标题 4 Char"/>
    <w:basedOn w:val="22"/>
    <w:link w:val="6"/>
    <w:semiHidden/>
    <w:qFormat/>
    <w:uiPriority w:val="9"/>
    <w:rPr>
      <w:rFonts w:asciiTheme="majorHAnsi" w:hAnsiTheme="majorHAnsi" w:eastAsiaTheme="majorEastAsia" w:cstheme="majorBidi"/>
      <w:b/>
      <w:bCs/>
      <w:sz w:val="28"/>
      <w:szCs w:val="28"/>
    </w:rPr>
  </w:style>
  <w:style w:type="character" w:customStyle="1" w:styleId="47">
    <w:name w:val="标题 5 Char"/>
    <w:basedOn w:val="22"/>
    <w:link w:val="7"/>
    <w:semiHidden/>
    <w:qFormat/>
    <w:uiPriority w:val="9"/>
    <w:rPr>
      <w:rFonts w:ascii="Times New Roman" w:hAnsi="Times New Roman" w:eastAsia="宋体" w:cs="Times New Roman"/>
      <w:b/>
      <w:bCs/>
      <w:sz w:val="28"/>
      <w:szCs w:val="28"/>
    </w:rPr>
  </w:style>
  <w:style w:type="character" w:customStyle="1" w:styleId="48">
    <w:name w:val="标题 6 Char"/>
    <w:basedOn w:val="22"/>
    <w:link w:val="8"/>
    <w:semiHidden/>
    <w:qFormat/>
    <w:uiPriority w:val="9"/>
    <w:rPr>
      <w:rFonts w:asciiTheme="majorHAnsi" w:hAnsiTheme="majorHAnsi" w:eastAsiaTheme="majorEastAsia" w:cstheme="majorBidi"/>
      <w:b/>
      <w:bCs/>
      <w:sz w:val="24"/>
      <w:szCs w:val="24"/>
    </w:rPr>
  </w:style>
  <w:style w:type="character" w:customStyle="1" w:styleId="49">
    <w:name w:val="标题 7 Char"/>
    <w:basedOn w:val="22"/>
    <w:link w:val="9"/>
    <w:semiHidden/>
    <w:qFormat/>
    <w:uiPriority w:val="9"/>
    <w:rPr>
      <w:rFonts w:ascii="Times New Roman" w:hAnsi="Times New Roman" w:eastAsia="宋体" w:cs="Times New Roman"/>
      <w:b/>
      <w:bCs/>
      <w:sz w:val="24"/>
      <w:szCs w:val="24"/>
    </w:rPr>
  </w:style>
  <w:style w:type="paragraph" w:customStyle="1" w:styleId="50">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1">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2">
    <w:name w:val="批注框文本 Char"/>
    <w:basedOn w:val="22"/>
    <w:link w:val="1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1207DE-C750-4BF6-849D-279CF25B9722}">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45</Pages>
  <Words>3952</Words>
  <Characters>22527</Characters>
  <Lines>187</Lines>
  <Paragraphs>52</Paragraphs>
  <TotalTime>74</TotalTime>
  <ScaleCrop>false</ScaleCrop>
  <LinksUpToDate>false</LinksUpToDate>
  <CharactersWithSpaces>26427</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WPS_1591229444</cp:lastModifiedBy>
  <cp:lastPrinted>2019-06-10T01:13:00Z</cp:lastPrinted>
  <dcterms:modified xsi:type="dcterms:W3CDTF">2022-02-17T06:59:54Z</dcterms:modified>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546492E9644C4A108178BCC3F3B75FDC</vt:lpwstr>
  </property>
</Properties>
</file>