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20220</w:t>
      </w:r>
      <w:r>
        <w:rPr>
          <w:rFonts w:hint="eastAsia" w:eastAsia="仿宋_GB2312"/>
          <w:snapToGrid w:val="0"/>
          <w:sz w:val="30"/>
          <w:lang w:val="en-US" w:eastAsia="zh-CN"/>
        </w:rPr>
        <w:t>86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sz w:val="52"/>
          <w:szCs w:val="52"/>
          <w:lang w:eastAsia="zh-CN"/>
        </w:rPr>
        <w:t>认知神经实验室改造工程项目</w:t>
      </w:r>
      <w:r>
        <w:rPr>
          <w:rFonts w:hint="eastAsia" w:ascii="华文中宋" w:hAnsi="华文中宋" w:eastAsia="华文中宋"/>
          <w:b/>
          <w:bCs/>
          <w:sz w:val="52"/>
          <w:szCs w:val="52"/>
        </w:rPr>
        <w:t xml:space="preserve">      </w:t>
      </w:r>
      <w:r>
        <w:rPr>
          <w:rFonts w:hint="eastAsia" w:ascii="华文中宋" w:hAnsi="华文中宋" w:eastAsia="华文中宋"/>
          <w:b/>
          <w:bCs/>
          <w:w w:val="90"/>
          <w:sz w:val="48"/>
          <w:szCs w:val="48"/>
        </w:rPr>
        <w:t xml:space="preserve">  </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9</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0"/>
          <w:rFonts w:hint="eastAsia"/>
        </w:rPr>
        <w:t>第一章</w:t>
      </w:r>
      <w:r>
        <w:rPr>
          <w:rStyle w:val="30"/>
        </w:rPr>
        <w:t xml:space="preserve">  </w:t>
      </w:r>
      <w:r>
        <w:rPr>
          <w:rStyle w:val="30"/>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0"/>
          <w:rFonts w:hint="eastAsia"/>
        </w:rPr>
        <w:t>第二章</w:t>
      </w:r>
      <w:r>
        <w:rPr>
          <w:rStyle w:val="30"/>
        </w:rPr>
        <w:t xml:space="preserve">  </w:t>
      </w:r>
      <w:r>
        <w:rPr>
          <w:rStyle w:val="30"/>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0"/>
          <w:rFonts w:hint="eastAsia"/>
        </w:rPr>
        <w:t>第三章</w:t>
      </w:r>
      <w:r>
        <w:rPr>
          <w:rStyle w:val="30"/>
        </w:rPr>
        <w:t xml:space="preserve">  </w:t>
      </w:r>
      <w:r>
        <w:rPr>
          <w:rStyle w:val="30"/>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0"/>
          <w:rFonts w:hint="eastAsia"/>
        </w:rPr>
        <w:t>第四章</w:t>
      </w:r>
      <w:r>
        <w:rPr>
          <w:rStyle w:val="30"/>
        </w:rPr>
        <w:t xml:space="preserve">  </w:t>
      </w:r>
      <w:r>
        <w:rPr>
          <w:rStyle w:val="30"/>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0"/>
          <w:rFonts w:hint="eastAsia"/>
        </w:rPr>
        <w:t>第五章</w:t>
      </w:r>
      <w:r>
        <w:rPr>
          <w:rStyle w:val="30"/>
        </w:rPr>
        <w:t xml:space="preserve">  </w:t>
      </w:r>
      <w:r>
        <w:rPr>
          <w:rStyle w:val="30"/>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0"/>
          <w:rFonts w:hint="eastAsia"/>
        </w:rPr>
        <w:t>第六章</w:t>
      </w:r>
      <w:r>
        <w:rPr>
          <w:rStyle w:val="30"/>
        </w:rPr>
        <w:t xml:space="preserve">  </w:t>
      </w:r>
      <w:r>
        <w:rPr>
          <w:rStyle w:val="30"/>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0"/>
          <w:rFonts w:hint="eastAsia"/>
        </w:rPr>
        <w:t>第七章</w:t>
      </w:r>
      <w:r>
        <w:rPr>
          <w:rStyle w:val="30"/>
        </w:rPr>
        <w:t xml:space="preserve">  </w:t>
      </w:r>
      <w:r>
        <w:rPr>
          <w:rStyle w:val="30"/>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认知神经实验室改造工程项目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皖南医学院认知神经实验室改造工程项目</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2022086</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79952.46元。</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adjustRightInd w:val="0"/>
        <w:snapToGrid w:val="0"/>
        <w:spacing w:line="360" w:lineRule="auto"/>
        <w:ind w:firstLine="453" w:firstLineChars="189"/>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1.具有独立法人资格，具有独立承担民事责任的能力。</w:t>
      </w:r>
    </w:p>
    <w:p>
      <w:pPr>
        <w:adjustRightInd w:val="0"/>
        <w:snapToGrid w:val="0"/>
        <w:spacing w:line="360" w:lineRule="auto"/>
        <w:ind w:firstLine="453" w:firstLineChars="189"/>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2.具有建筑装修装饰工程专业承包三级及以上企业。投标单位相关资质须是建设行政主管部门核发的，且经年检合格。</w:t>
      </w:r>
    </w:p>
    <w:p>
      <w:pPr>
        <w:adjustRightInd w:val="0"/>
        <w:snapToGrid w:val="0"/>
        <w:spacing w:line="360" w:lineRule="auto"/>
        <w:ind w:firstLine="453" w:firstLineChars="189"/>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3.具有良好的商业信誉和优良的售后服务，在近三年的经营活动中没有不良记录。</w:t>
      </w:r>
    </w:p>
    <w:p>
      <w:pPr>
        <w:adjustRightInd w:val="0"/>
        <w:snapToGrid w:val="0"/>
        <w:spacing w:line="360" w:lineRule="auto"/>
        <w:ind w:firstLine="453" w:firstLineChars="189"/>
        <w:rPr>
          <w:rFonts w:hint="eastAsia" w:ascii="仿宋_GB2312" w:hAnsi="宋体" w:eastAsia="仿宋_GB2312" w:cs="宋体"/>
          <w:kern w:val="0"/>
          <w:sz w:val="24"/>
          <w:szCs w:val="24"/>
          <w:lang w:val="zh-CN" w:eastAsia="zh-CN" w:bidi="ar-SA"/>
        </w:rPr>
      </w:pPr>
      <w:r>
        <w:rPr>
          <w:rFonts w:hint="eastAsia" w:ascii="仿宋_GB2312" w:hAnsi="宋体" w:eastAsia="仿宋_GB2312" w:cs="宋体"/>
          <w:kern w:val="0"/>
          <w:sz w:val="24"/>
          <w:szCs w:val="24"/>
          <w:lang w:val="en-US" w:eastAsia="zh-CN" w:bidi="ar-SA"/>
        </w:rPr>
        <w:t>4</w:t>
      </w:r>
      <w:r>
        <w:rPr>
          <w:rFonts w:hint="default" w:ascii="仿宋_GB2312" w:hAnsi="宋体" w:eastAsia="仿宋_GB2312" w:cs="宋体"/>
          <w:kern w:val="0"/>
          <w:sz w:val="24"/>
          <w:szCs w:val="24"/>
          <w:lang w:val="en-US" w:eastAsia="zh-CN" w:bidi="ar-SA"/>
        </w:rPr>
        <w:t>.本项目不接受联合体投标。</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16</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皖南医学院认知神经实验室改造工程项目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2022086</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4"/>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21</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21</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因学校防控要求，校外人员进校需填写《校外人员入校申请表》（附件）。请各投标单位如实填写，并于2022年9月20日12：00前将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传至8428207551@qq.com。未按时提交《校外人员入校申请表》的，后果自负。</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4"/>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6"/>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华文中宋" w:hAnsi="华文中宋" w:eastAsia="华文中宋"/>
          <w:color w:val="auto"/>
        </w:rPr>
        <w:t>第二章  磋商须知前附表</w:t>
      </w:r>
      <w:bookmarkEnd w:id="1"/>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皖南医学院</w:t>
            </w:r>
            <w:r>
              <w:rPr>
                <w:rFonts w:hint="eastAsia" w:ascii="宋体" w:hAnsi="宋体" w:cs="宋体"/>
                <w:kern w:val="0"/>
                <w:sz w:val="21"/>
                <w:szCs w:val="21"/>
                <w:lang w:eastAsia="zh-CN"/>
              </w:rPr>
              <w:t>认知神经实验室改造工程项目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b/>
                <w:bCs/>
                <w:sz w:val="21"/>
                <w:szCs w:val="21"/>
                <w:lang w:val="en-US" w:eastAsia="zh-CN"/>
              </w:rPr>
              <w:t>踏勘联系人：郑老师 ；踏勘时间2022年09月19日14:00；踏勘联系方式：0553-3932410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1600元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20614214"/>
      <w:bookmarkStart w:id="4" w:name="_Toc513029203"/>
      <w:bookmarkStart w:id="5" w:name="_Toc20823275"/>
      <w:bookmarkStart w:id="6" w:name="_Toc16938519"/>
      <w:bookmarkStart w:id="7" w:name="_Toc403987205"/>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513029204"/>
      <w:bookmarkStart w:id="10" w:name="_Toc16938520"/>
      <w:bookmarkStart w:id="11" w:name="_Toc20823276"/>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20823277"/>
      <w:bookmarkStart w:id="14" w:name="_Toc513029205"/>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513029206"/>
      <w:bookmarkStart w:id="17" w:name="_Toc16938522"/>
      <w:r>
        <w:rPr>
          <w:rFonts w:hint="eastAsia" w:ascii="宋体" w:hAnsi="宋体" w:cs="宋体"/>
          <w:sz w:val="24"/>
          <w:szCs w:val="24"/>
        </w:rPr>
        <w:t>4.适用法律</w:t>
      </w:r>
      <w:bookmarkEnd w:id="15"/>
      <w:bookmarkEnd w:id="16"/>
      <w:bookmarkEnd w:id="17"/>
    </w:p>
    <w:p>
      <w:pPr>
        <w:pStyle w:val="38"/>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16938523"/>
      <w:bookmarkStart w:id="20" w:name="_Toc462564067"/>
      <w:bookmarkStart w:id="21" w:name="_Toc513029207"/>
      <w:r>
        <w:rPr>
          <w:rFonts w:hint="eastAsia" w:ascii="宋体" w:hAnsi="宋体" w:cs="宋体"/>
          <w:sz w:val="24"/>
          <w:szCs w:val="24"/>
        </w:rPr>
        <w:t>5.磋商费用</w:t>
      </w:r>
      <w:bookmarkEnd w:id="18"/>
      <w:bookmarkEnd w:id="19"/>
      <w:bookmarkEnd w:id="20"/>
      <w:bookmarkEnd w:id="21"/>
    </w:p>
    <w:p>
      <w:pPr>
        <w:pStyle w:val="38"/>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403987206"/>
      <w:bookmarkStart w:id="23" w:name="_Toc120614215"/>
      <w:bookmarkStart w:id="24" w:name="_Toc20823281"/>
      <w:bookmarkStart w:id="25" w:name="_Toc16938525"/>
      <w:bookmarkStart w:id="26" w:name="_Toc513029209"/>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20823282"/>
      <w:bookmarkStart w:id="28" w:name="_Toc513029210"/>
      <w:bookmarkStart w:id="29" w:name="_Toc16938526"/>
      <w:r>
        <w:rPr>
          <w:rFonts w:hint="eastAsia" w:ascii="宋体" w:hAnsi="宋体" w:cs="宋体"/>
          <w:sz w:val="24"/>
          <w:szCs w:val="24"/>
        </w:rPr>
        <w:t>1.磋商文件构成</w:t>
      </w:r>
      <w:bookmarkEnd w:id="27"/>
      <w:bookmarkEnd w:id="28"/>
      <w:bookmarkEnd w:id="29"/>
    </w:p>
    <w:p>
      <w:pPr>
        <w:pStyle w:val="38"/>
        <w:snapToGrid w:val="0"/>
        <w:rPr>
          <w:rFonts w:hint="eastAsia" w:hAnsi="宋体" w:eastAsia="宋体"/>
          <w:sz w:val="24"/>
          <w:szCs w:val="24"/>
        </w:rPr>
      </w:pPr>
      <w:r>
        <w:rPr>
          <w:rFonts w:hint="eastAsia" w:hAnsi="宋体" w:eastAsia="宋体"/>
          <w:sz w:val="24"/>
          <w:szCs w:val="24"/>
        </w:rPr>
        <w:t>磋商文件有以下部分组成：</w:t>
      </w:r>
    </w:p>
    <w:p>
      <w:pPr>
        <w:pStyle w:val="38"/>
        <w:snapToGrid w:val="0"/>
        <w:rPr>
          <w:rFonts w:hint="eastAsia" w:hAnsi="宋体" w:eastAsia="宋体"/>
          <w:sz w:val="24"/>
          <w:szCs w:val="24"/>
        </w:rPr>
      </w:pPr>
      <w:r>
        <w:rPr>
          <w:rFonts w:hint="eastAsia" w:hAnsi="宋体" w:eastAsia="宋体"/>
          <w:sz w:val="24"/>
          <w:szCs w:val="24"/>
        </w:rPr>
        <w:t>（1）磋商公告</w:t>
      </w:r>
    </w:p>
    <w:p>
      <w:pPr>
        <w:pStyle w:val="38"/>
        <w:snapToGrid w:val="0"/>
        <w:rPr>
          <w:rFonts w:hint="eastAsia" w:hAnsi="宋体" w:eastAsia="宋体"/>
          <w:sz w:val="24"/>
          <w:szCs w:val="24"/>
        </w:rPr>
      </w:pPr>
      <w:r>
        <w:rPr>
          <w:rFonts w:hint="eastAsia" w:hAnsi="宋体" w:eastAsia="宋体"/>
          <w:sz w:val="24"/>
          <w:szCs w:val="24"/>
        </w:rPr>
        <w:t>（2）磋商须知前附表</w:t>
      </w:r>
    </w:p>
    <w:p>
      <w:pPr>
        <w:pStyle w:val="38"/>
        <w:snapToGrid w:val="0"/>
        <w:rPr>
          <w:rFonts w:hint="eastAsia" w:hAnsi="宋体" w:eastAsia="宋体"/>
          <w:sz w:val="24"/>
          <w:szCs w:val="24"/>
        </w:rPr>
      </w:pPr>
      <w:r>
        <w:rPr>
          <w:rFonts w:hint="eastAsia" w:hAnsi="宋体" w:eastAsia="宋体"/>
          <w:sz w:val="24"/>
          <w:szCs w:val="24"/>
        </w:rPr>
        <w:t>（3）磋商须知</w:t>
      </w:r>
    </w:p>
    <w:p>
      <w:pPr>
        <w:pStyle w:val="38"/>
        <w:snapToGrid w:val="0"/>
        <w:rPr>
          <w:rFonts w:hint="eastAsia" w:hAnsi="宋体" w:eastAsia="宋体"/>
          <w:sz w:val="24"/>
          <w:szCs w:val="24"/>
        </w:rPr>
      </w:pPr>
      <w:r>
        <w:rPr>
          <w:rFonts w:hint="eastAsia" w:hAnsi="宋体" w:eastAsia="宋体"/>
          <w:sz w:val="24"/>
          <w:szCs w:val="24"/>
        </w:rPr>
        <w:t>（4）合同主要条款</w:t>
      </w:r>
    </w:p>
    <w:p>
      <w:pPr>
        <w:pStyle w:val="38"/>
        <w:snapToGrid w:val="0"/>
        <w:rPr>
          <w:rFonts w:hint="eastAsia" w:hAnsi="宋体" w:eastAsia="宋体"/>
          <w:sz w:val="24"/>
          <w:szCs w:val="24"/>
        </w:rPr>
      </w:pPr>
      <w:r>
        <w:rPr>
          <w:rFonts w:hint="eastAsia" w:hAnsi="宋体" w:eastAsia="宋体"/>
          <w:sz w:val="24"/>
          <w:szCs w:val="24"/>
        </w:rPr>
        <w:t>（5）项目需求</w:t>
      </w:r>
    </w:p>
    <w:p>
      <w:pPr>
        <w:pStyle w:val="38"/>
        <w:snapToGrid w:val="0"/>
        <w:rPr>
          <w:rFonts w:hint="eastAsia" w:hAnsi="宋体" w:eastAsia="宋体"/>
          <w:sz w:val="24"/>
          <w:szCs w:val="24"/>
        </w:rPr>
      </w:pPr>
      <w:r>
        <w:rPr>
          <w:rFonts w:hint="eastAsia" w:hAnsi="宋体" w:eastAsia="宋体"/>
          <w:sz w:val="24"/>
          <w:szCs w:val="24"/>
        </w:rPr>
        <w:t>（6）评审标准</w:t>
      </w:r>
    </w:p>
    <w:p>
      <w:pPr>
        <w:pStyle w:val="38"/>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20823283"/>
      <w:bookmarkStart w:id="31" w:name="_Toc462564070"/>
      <w:bookmarkStart w:id="32" w:name="_Toc16938527"/>
      <w:bookmarkStart w:id="33" w:name="_Toc513029211"/>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120614216"/>
      <w:bookmarkStart w:id="35" w:name="_Toc16938529"/>
      <w:bookmarkStart w:id="36" w:name="_Toc462564072"/>
      <w:bookmarkStart w:id="37" w:name="_Toc403987207"/>
      <w:bookmarkStart w:id="38" w:name="_Toc513029213"/>
      <w:bookmarkStart w:id="39" w:name="_Toc20823285"/>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16938530"/>
      <w:bookmarkStart w:id="42" w:name="_Toc462564073"/>
      <w:bookmarkStart w:id="43" w:name="_Toc20823286"/>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38"/>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462564074"/>
      <w:bookmarkStart w:id="46" w:name="_Toc16938531"/>
      <w:bookmarkStart w:id="47" w:name="_Toc513029215"/>
      <w:bookmarkStart w:id="48" w:name="_Toc20823287"/>
      <w:r>
        <w:rPr>
          <w:rFonts w:hint="eastAsia" w:ascii="宋体" w:hAnsi="宋体" w:cs="宋体"/>
          <w:sz w:val="24"/>
          <w:szCs w:val="24"/>
        </w:rPr>
        <w:t>4.响应文件构成</w:t>
      </w:r>
      <w:bookmarkEnd w:id="45"/>
      <w:bookmarkEnd w:id="46"/>
      <w:bookmarkEnd w:id="47"/>
      <w:bookmarkEnd w:id="48"/>
    </w:p>
    <w:p>
      <w:pPr>
        <w:pStyle w:val="38"/>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70360"/>
      <w:bookmarkEnd w:id="49"/>
      <w:bookmarkStart w:id="50" w:name="_Hlt26668975"/>
      <w:bookmarkEnd w:id="50"/>
      <w:bookmarkStart w:id="51" w:name="_Hlt26954838"/>
      <w:bookmarkEnd w:id="51"/>
      <w:bookmarkStart w:id="52" w:name="_Toc513029219"/>
      <w:bookmarkStart w:id="53" w:name="_Toc49090509"/>
      <w:bookmarkStart w:id="54" w:name="_Toc14577357"/>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38"/>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954739"/>
      <w:bookmarkEnd w:id="63"/>
      <w:bookmarkStart w:id="64" w:name="_Hlt26954852"/>
      <w:bookmarkEnd w:id="64"/>
      <w:bookmarkStart w:id="65" w:name="_Hlt26670482"/>
      <w:bookmarkEnd w:id="65"/>
      <w:bookmarkStart w:id="66" w:name="_Hlt26954848"/>
      <w:bookmarkEnd w:id="66"/>
      <w:bookmarkStart w:id="67" w:name="_Hlt26670486"/>
      <w:bookmarkEnd w:id="67"/>
      <w:bookmarkStart w:id="68" w:name="_Hlt26954731"/>
      <w:bookmarkEnd w:id="68"/>
      <w:bookmarkStart w:id="69" w:name="_Hlt26954846"/>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16938540"/>
      <w:bookmarkStart w:id="73" w:name="_Toc120614217"/>
      <w:bookmarkStart w:id="74" w:name="_Toc513029224"/>
      <w:bookmarkStart w:id="75" w:name="_Toc20823296"/>
      <w:bookmarkStart w:id="76" w:name="_Toc403987208"/>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20823297"/>
      <w:bookmarkStart w:id="78" w:name="_Toc462564084"/>
      <w:bookmarkStart w:id="79" w:name="_Toc513029225"/>
      <w:bookmarkStart w:id="80" w:name="_Toc16938541"/>
      <w:r>
        <w:rPr>
          <w:rFonts w:hint="eastAsia" w:ascii="宋体" w:hAnsi="宋体" w:cs="宋体"/>
          <w:sz w:val="24"/>
          <w:szCs w:val="24"/>
        </w:rPr>
        <w:t>1.响应文件的密封和标记</w:t>
      </w:r>
      <w:bookmarkEnd w:id="77"/>
      <w:bookmarkEnd w:id="78"/>
      <w:bookmarkEnd w:id="79"/>
      <w:bookmarkEnd w:id="80"/>
    </w:p>
    <w:p>
      <w:pPr>
        <w:pStyle w:val="38"/>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rPr>
          <w:rFonts w:hint="eastAsia" w:hAnsi="宋体" w:eastAsia="宋体"/>
          <w:sz w:val="24"/>
          <w:szCs w:val="24"/>
        </w:rPr>
      </w:pPr>
      <w:r>
        <w:rPr>
          <w:rFonts w:hint="eastAsia" w:hAnsi="宋体" w:eastAsia="宋体"/>
          <w:sz w:val="24"/>
          <w:szCs w:val="24"/>
        </w:rPr>
        <w:t>（2）密封的响应文件应：</w:t>
      </w:r>
    </w:p>
    <w:p>
      <w:pPr>
        <w:pStyle w:val="38"/>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rPr>
          <w:rFonts w:hint="eastAsia" w:hAnsi="宋体" w:eastAsia="宋体"/>
          <w:sz w:val="24"/>
          <w:szCs w:val="24"/>
        </w:rPr>
      </w:pPr>
      <w:r>
        <w:rPr>
          <w:rFonts w:hint="eastAsia" w:hAnsi="宋体" w:eastAsia="宋体"/>
          <w:sz w:val="24"/>
          <w:szCs w:val="24"/>
        </w:rPr>
        <w:t>2）注明磋商项目名称、项目编号。</w:t>
      </w:r>
    </w:p>
    <w:p>
      <w:pPr>
        <w:pStyle w:val="38"/>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20823298"/>
      <w:bookmarkStart w:id="82" w:name="_Toc16938542"/>
      <w:bookmarkStart w:id="83" w:name="_Toc513029226"/>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16938547"/>
      <w:bookmarkStart w:id="86" w:name="_Toc20823303"/>
      <w:r>
        <w:rPr>
          <w:rFonts w:hint="eastAsia" w:ascii="宋体" w:hAnsi="宋体" w:cs="宋体"/>
          <w:sz w:val="24"/>
          <w:szCs w:val="24"/>
        </w:rPr>
        <w:t>2.磋商小组</w:t>
      </w:r>
    </w:p>
    <w:p>
      <w:pPr>
        <w:pStyle w:val="38"/>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16938549"/>
      <w:bookmarkStart w:id="92" w:name="_Toc20823305"/>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rPr>
          <w:rFonts w:hint="eastAsia" w:hAnsi="宋体" w:eastAsia="宋体"/>
          <w:sz w:val="24"/>
          <w:szCs w:val="24"/>
        </w:rPr>
      </w:pPr>
      <w:bookmarkStart w:id="93" w:name="_Toc16938551"/>
      <w:bookmarkStart w:id="94" w:name="_Toc513029235"/>
      <w:bookmarkStart w:id="95" w:name="_Toc20823307"/>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403987211"/>
      <w:bookmarkStart w:id="99" w:name="_Toc120614220"/>
      <w:bookmarkStart w:id="100" w:name="_Toc16938552"/>
      <w:bookmarkStart w:id="101" w:name="_Toc20823308"/>
      <w:bookmarkStart w:id="102" w:name="_Toc513029236"/>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20823309"/>
      <w:bookmarkStart w:id="104" w:name="_Toc513029237"/>
      <w:bookmarkStart w:id="105" w:name="_Toc16938553"/>
      <w:r>
        <w:rPr>
          <w:rFonts w:hint="eastAsia" w:ascii="宋体" w:hAnsi="宋体" w:cs="宋体"/>
          <w:sz w:val="24"/>
          <w:szCs w:val="24"/>
        </w:rPr>
        <w:t>1.签订合同</w:t>
      </w:r>
    </w:p>
    <w:p>
      <w:pPr>
        <w:pStyle w:val="38"/>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38"/>
        <w:snapToGrid w:val="0"/>
        <w:ind w:left="0" w:leftChars="0" w:right="280" w:rightChars="100" w:firstLine="0" w:firstLineChars="0"/>
        <w:rPr>
          <w:rFonts w:ascii="仿宋_GB2312" w:hAnsi="宋体" w:eastAsia="仿宋_GB2312"/>
          <w:bCs/>
          <w:szCs w:val="28"/>
        </w:rPr>
      </w:pPr>
    </w:p>
    <w:p>
      <w:pPr>
        <w:pStyle w:val="6"/>
        <w:numPr>
          <w:ilvl w:val="0"/>
          <w:numId w:val="2"/>
        </w:numPr>
        <w:snapToGrid w:val="0"/>
        <w:spacing w:before="0" w:after="0"/>
        <w:ind w:left="947" w:hanging="947"/>
        <w:jc w:val="center"/>
        <w:rPr>
          <w:rFonts w:hint="eastAsia"/>
        </w:rPr>
      </w:pPr>
      <w:bookmarkStart w:id="107" w:name="_Toc49763002"/>
      <w:r>
        <w:rPr>
          <w:rFonts w:hint="eastAsia" w:ascii="华文中宋" w:hAnsi="华文中宋" w:eastAsia="华文中宋"/>
          <w:bCs w:val="0"/>
          <w:color w:val="auto"/>
          <w:highlight w:val="none"/>
        </w:rPr>
        <w:t xml:space="preserve"> 合同主要条款</w:t>
      </w:r>
      <w:bookmarkEnd w:id="107"/>
    </w:p>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皖南医学院认知神经实验室改造工程项目</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lang w:val="en-US" w:eastAsia="zh-CN"/>
        </w:rPr>
        <w:t>施工</w:t>
      </w:r>
      <w:r>
        <w:rPr>
          <w:rFonts w:hint="eastAsia" w:ascii="黑体" w:hAnsi="黑体" w:eastAsia="黑体" w:cs="黑体"/>
          <w:b/>
          <w:spacing w:val="-6"/>
          <w:kern w:val="0"/>
          <w:sz w:val="36"/>
          <w:szCs w:val="36"/>
        </w:rPr>
        <w:t>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应用心理学实验中心平台项目认知心理实验室改造</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应用心理学实验中心平台项目认知心理实验室改造</w:t>
      </w:r>
      <w:r>
        <w:rPr>
          <w:rFonts w:hint="eastAsia" w:ascii="宋体" w:hAnsi="宋体" w:eastAsia="宋体" w:cs="宋体"/>
          <w:sz w:val="28"/>
          <w:szCs w:val="28"/>
          <w:u w:val="single"/>
          <w:lang w:val="en-US" w:eastAsia="zh-CN"/>
        </w:rPr>
        <w:t>工程</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赭麓校区南北楼</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3300.00</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30</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500</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highlight w:val="yellow"/>
        </w:rPr>
      </w:pPr>
      <w:r>
        <w:rPr>
          <w:rFonts w:hint="eastAsia" w:ascii="宋体" w:hAnsi="宋体" w:eastAsia="宋体" w:cs="宋体"/>
          <w:sz w:val="28"/>
          <w:szCs w:val="28"/>
        </w:rPr>
        <w:t>1.本工程不支付进度款，工程完工后由甲方组织验收，验收合格</w:t>
      </w:r>
      <w:r>
        <w:rPr>
          <w:rFonts w:hint="eastAsia" w:ascii="宋体" w:hAnsi="宋体" w:eastAsia="宋体" w:cs="宋体"/>
          <w:sz w:val="28"/>
          <w:szCs w:val="28"/>
          <w:highlight w:val="none"/>
        </w:rPr>
        <w:t>后凭乙方提供的发票支付至合同价（不含暂列金额）的</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70</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%；审计完成，乙方先将金额为终审价</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3</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%的质保金汇入甲方账户，甲方凭发票及质保金汇款凭证付至终审价的100%；</w:t>
      </w:r>
      <w:r>
        <w:rPr>
          <w:rFonts w:hint="eastAsia" w:ascii="宋体" w:hAnsi="宋体" w:eastAsia="宋体" w:cs="Times New Roman"/>
          <w:sz w:val="28"/>
          <w:szCs w:val="28"/>
          <w:highlight w:val="none"/>
        </w:rPr>
        <w:t>质保期满后无质量问题一次性无息退还质保金。</w:t>
      </w:r>
      <w:bookmarkStart w:id="153" w:name="_GoBack"/>
      <w:bookmarkEnd w:id="153"/>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w:t>
      </w:r>
      <w:r>
        <w:rPr>
          <w:rFonts w:hint="eastAsia" w:ascii="宋体" w:hAnsi="宋体" w:eastAsia="宋体" w:cs="宋体"/>
          <w:sz w:val="28"/>
          <w:szCs w:val="28"/>
          <w:lang w:val="en-US" w:eastAsia="zh-CN"/>
        </w:rPr>
        <w:t>详</w:t>
      </w:r>
      <w:r>
        <w:rPr>
          <w:rFonts w:hint="eastAsia" w:ascii="宋体" w:hAnsi="宋体" w:eastAsia="宋体" w:cs="宋体"/>
          <w:sz w:val="28"/>
          <w:szCs w:val="28"/>
        </w:rPr>
        <w:t>见</w:t>
      </w:r>
      <w:r>
        <w:rPr>
          <w:rFonts w:hint="eastAsia" w:ascii="宋体" w:hAnsi="宋体" w:eastAsia="宋体" w:cs="宋体"/>
          <w:sz w:val="28"/>
          <w:szCs w:val="28"/>
          <w:lang w:val="en-US" w:eastAsia="zh-CN"/>
        </w:rPr>
        <w:t>技术要求</w:t>
      </w:r>
      <w:r>
        <w:rPr>
          <w:rFonts w:hint="eastAsia" w:ascii="宋体" w:hAnsi="宋体" w:eastAsia="宋体" w:cs="宋体"/>
          <w:sz w:val="28"/>
          <w:szCs w:val="28"/>
        </w:rPr>
        <w:t>）。</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12</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郑逸凡</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13965158012</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捌</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陆</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贰</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6"/>
        <w:numPr>
          <w:ilvl w:val="0"/>
          <w:numId w:val="2"/>
        </w:numPr>
        <w:snapToGrid w:val="0"/>
        <w:spacing w:before="0" w:after="0"/>
        <w:ind w:left="947" w:leftChars="0" w:hanging="947" w:firstLineChars="0"/>
        <w:jc w:val="center"/>
        <w:rPr>
          <w:rFonts w:hint="eastAsia"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autoSpaceDN w:val="0"/>
        <w:rPr>
          <w:rFonts w:hint="eastAsia"/>
          <w:b/>
          <w:bCs/>
          <w:sz w:val="30"/>
          <w:szCs w:val="30"/>
        </w:rPr>
      </w:pP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我校赭麓校区应用心理学实验中心平台项目认识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实验室改造工程，施工地点位于南北楼。具体详见图纸、工作量清单和招标公告等。</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、改造主要工作内容及要求</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（一）技术方案参数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（1）“B”级屏蔽效能指标如下：</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磁场：100KHz-1MHz       ≥70dB-80dB</w:t>
      </w:r>
    </w:p>
    <w:p>
      <w:pPr>
        <w:spacing w:line="480" w:lineRule="exact"/>
        <w:ind w:firstLine="1400" w:firstLineChars="500"/>
        <w:rPr>
          <w:rFonts w:ascii="仿宋_GB2312" w:hAnsi="仿宋_GB2312" w:eastAsia="仿宋_GB2312" w:cs="仿宋_GB2312"/>
          <w:sz w:val="28"/>
          <w:szCs w:val="28"/>
        </w:rPr>
      </w:pPr>
      <w:r>
        <w:rPr>
          <w:rFonts w:hint="eastAsia" w:ascii="仿宋_GB2312" w:hAnsi="仿宋_GB2312" w:eastAsia="仿宋_GB2312" w:cs="仿宋_GB2312"/>
          <w:sz w:val="28"/>
          <w:szCs w:val="28"/>
        </w:rPr>
        <w:t>1MHz-20MHz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电场：20MHz-1GHz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微波：1GHz-6GHz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（2）装饰材料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选用环保等级高，甲醛浓度低的装饰材料，使室内甲醛浓度在0.1mg/m³左右。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（二）隔音屏蔽室墙面壳体（含吊顶5面）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墙面做50mm高龙骨，在龙骨内填充50mm隔音棉，在龙骨外面做3mm隔音毡，隔音毡上做12mm内层结构板(石膏板），结构板外面固定50mm隔音棉，详见大样图；顶面同墙面。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隔音棉规格：50mm，海绵一体带背胶防火，灰色。</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（三）地面处理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静电地板：150mm高，水泥夹层、钢板底面，铜箔网导地；静电地板内面、地面分别填充50mm隔音棉（参数同（二）内隔音棉规格），面上铺贴隔音地毯；符合环保阻燃国标。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（四）隔音屏蔽门</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工艺要求两层门板中间夹100mm隔音棉（参数同（二）内隔音棉规格），内面（向屏蔽室面）粘贴50mm吸音棉，门体厚度与屏蔽室墙体一致；隔音降噪效果不低于-30dB，符合环保阻燃国标。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（五）钢木结构实验台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台面材质：耐腐蚀理化板，静电处理；钢架材质：冷轧钢厚度不小于1.2mm，静电喷涂厚度不小于80微米，组合固定需带有角码固定。</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（六）风管空调等</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3匹定频1拖4风管式空调（外装），包含送、回风管、铜管、外机支架等所有</w:t>
      </w:r>
      <w:r>
        <w:rPr>
          <w:rFonts w:hint="eastAsia" w:ascii="仿宋_GB2312" w:hAnsi="仿宋_GB2312" w:eastAsia="仿宋_GB2312" w:cs="仿宋_GB2312"/>
          <w:sz w:val="28"/>
          <w:szCs w:val="28"/>
          <w:lang w:val="en-US" w:eastAsia="zh-CN"/>
        </w:rPr>
        <w:t>保证正常使用的</w:t>
      </w:r>
      <w:r>
        <w:rPr>
          <w:rFonts w:hint="eastAsia" w:ascii="仿宋_GB2312" w:hAnsi="仿宋_GB2312" w:eastAsia="仿宋_GB2312" w:cs="仿宋_GB2312"/>
          <w:sz w:val="28"/>
          <w:szCs w:val="28"/>
        </w:rPr>
        <w:t>管道及附件；在实验室顶部安装消音送、回风管，连接空调风机，各隔间配300x300全焊接式蜂窝波导窗1只共4只用于空调送风和回风；实验室外部墙面安装2路控制开关。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（七）照明、开关、插座、网口</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分隔后安装600x600 LED平板灯，220v、双驱、铝边，单只功率不低于48w；分隔后照明开关统一安装在外部；分隔后</w:t>
      </w:r>
      <w:r>
        <w:rPr>
          <w:rFonts w:hint="eastAsia" w:ascii="仿宋_GB2312" w:hAnsi="仿宋_GB2312" w:eastAsia="仿宋_GB2312" w:cs="仿宋_GB2312"/>
          <w:sz w:val="28"/>
          <w:szCs w:val="28"/>
          <w:lang w:val="en-US" w:eastAsia="zh-CN"/>
        </w:rPr>
        <w:t>各房间分别</w:t>
      </w:r>
      <w:r>
        <w:rPr>
          <w:rFonts w:hint="eastAsia" w:ascii="仿宋_GB2312" w:hAnsi="仿宋_GB2312" w:eastAsia="仿宋_GB2312" w:cs="仿宋_GB2312"/>
          <w:sz w:val="28"/>
          <w:szCs w:val="28"/>
        </w:rPr>
        <w:t>预留2组86型5孔开关；逻辑接地与大楼接地相连接；原房间内安装的校园无线网路由器拆除，最外间墙面预留1组有线网接口与楼宇内层汇聚交换机相连、接入校园网；开关、插座、网口高度和位置以现场勘定为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）洗头池及防水改造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成品18寸以上陶瓷方盆，配不锈钢支架、冷热水合金龙头、冷热水进水管、全铜防臭下水管；台面与墙面接缝处做防水、墙面距地1.8m做防水涂料。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）快热式电热水器及上下水改造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加热功率最小值</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5000W，具有恒温调节模式；配备全铜冷热水角阀、冷热水管、手持式花洒；32A空气开关。</w:t>
      </w:r>
    </w:p>
    <w:p>
      <w:pPr>
        <w:spacing w:line="480" w:lineRule="exact"/>
        <w:ind w:firstLine="560"/>
        <w:rPr>
          <w:rFonts w:ascii="仿宋_GB2312" w:hAnsi="仿宋_GB2312" w:eastAsia="仿宋_GB2312" w:cs="仿宋_GB2312"/>
          <w:sz w:val="28"/>
          <w:szCs w:val="28"/>
        </w:rPr>
      </w:pPr>
    </w:p>
    <w:p>
      <w:pPr>
        <w:numPr>
          <w:ilvl w:val="0"/>
          <w:numId w:val="0"/>
        </w:numPr>
        <w:tabs>
          <w:tab w:val="left" w:pos="567"/>
        </w:tabs>
        <w:spacing w:line="288" w:lineRule="auto"/>
        <w:ind w:right="-1" w:righ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其他注意事项</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1.承包人结合项目的特点，依据图纸和清单综合报价，如发现项目清单中有漏量、漏项的，请在开工前提出；施工完成后，必须满足验收规范和使用部门功能要求。 </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2.施工严格按照发包人提供的图纸进行，如有不确定尺寸、图纸与技术要求、清单不符等情况要及时与使用部门联系，得到后勤管理处工程项目负责人确认后方可施工。</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工程总报价含材料费（主材和辅材）、劳务费、搬运费（二次搬运及垂直运输费）、施工机械费、施工费或安装费、技术服务和售后服务费、综合管理费、隔音隔磁检测检验、空调器室内外所有管道、利润和税金等一切费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4.本工程工期为</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个日历天，承包人若不能按工期完成，每延期一天罚款500元（发包人原因除外，但需承包人书面提出，发包人现场负责人签字确认）；推迟10天及以上甲方将发函警告乙方并没收其全部工程履约保证金，将其录入学校黑名单库，3年内禁止参加学校任何招投标活动。不可抗力因素除外。</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5.承包人必须完善自身质量安全管理体系和文明施工措施，杜绝野蛮施工和安全事故发生。承包人若发生质量或安全事故，均由承包人自行承担一切后果，造成发包人损失的按实赔偿，并承担相应法律责任。禁止高空抛物。在施工过程中须对现场环境进行保护，如对墙面、地面及其他设施等造成破坏须原样修复或照价赔偿。</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6.工程施工中，垃圾须运输至校方指定地点临时覆盖堆放并每日清运出校外，运输需要符合环保、市政要求；完工后，保洁维修改造全部地点，清洁地面、墙面、门窗及玻璃上的油漆和灰尘，垃圾装袋并外运。</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7.本项目不提供预付款，工程完工后由甲方组织验收，验收合格后甲方凭乙方提供的正规发票，支付合同价（不含暂列金）的70%；审计完成后，乙方将数额为终审造价3%的工程质保金汇入甲方账户，甲方将剩余工程款一次性支付给乙方；质保金一年期满无质量问题后一次性退还（质保期从验收合格日期开始计算）。</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对于多次重复出现的管理和质量问题，学校将视情况通报芜湖市工程质量监督部门和公共资源交易管理中心等相关部门。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9.计价规则：设计变更、专业工程暂估价和甲方提出的变更调整部分，原则上参照投标文件中单价计算。投标文件中没有相同类型的子目，结算时执行</w:t>
      </w:r>
      <w:r>
        <w:rPr>
          <w:rFonts w:hint="eastAsia" w:ascii="仿宋_GB2312" w:hAnsi="仿宋_GB2312" w:eastAsia="仿宋_GB2312" w:cs="仿宋_GB2312"/>
          <w:spacing w:val="20"/>
          <w:sz w:val="28"/>
          <w:szCs w:val="28"/>
        </w:rPr>
        <w:t>2018版《安徽省建设工程工程量清单计价办法》、2018版《安徽省建设工程工程计价定额》及其配套的费用定额、《建设工程工程量清单计价规范》（GB50500-2013）</w:t>
      </w:r>
      <w:r>
        <w:rPr>
          <w:rFonts w:hint="eastAsia" w:ascii="仿宋_GB2312" w:hAnsi="仿宋_GB2312" w:eastAsia="仿宋_GB2312" w:cs="仿宋_GB2312"/>
          <w:sz w:val="28"/>
          <w:szCs w:val="28"/>
        </w:rPr>
        <w:t>，相关优惠率同投标优惠率一致；投标文件中没有的主材参考《芜湖工程造价信息》当月信息价八折计算，信息价中没有的材料结合市场定价。涉及合同价款变动的变更项目必须按《皖南医学院基建维修工程管理办法（修订）》（校政[2020]118号）及《后勤管理处基建维修工程变更签证管理规定（试行）》（后勤[2020]12号）逐级签字盖章生效后方可施工，否则，视为该项变更不涉及合同价款的变更，若发生费用由乙方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10.工程主要材料规定品牌如下</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注：承包人采购的所有设备、材料进场时均要有合格证、检测报告等，证明该产品符合校方要求；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pPr>
        <w:tabs>
          <w:tab w:val="left" w:pos="567"/>
        </w:tabs>
        <w:spacing w:line="288"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11.如图纸与本技术要求有矛盾之处，以后勤管理处解释为准。</w:t>
      </w:r>
    </w:p>
    <w:p>
      <w:pPr>
        <w:pStyle w:val="2"/>
        <w:rPr>
          <w:rFonts w:hint="eastAsia"/>
        </w:rPr>
      </w:pPr>
    </w:p>
    <w:p>
      <w:pPr>
        <w:pStyle w:val="6"/>
        <w:snapToGrid w:val="0"/>
        <w:spacing w:before="0" w:after="0"/>
        <w:ind w:left="0" w:leftChars="0" w:firstLine="0" w:firstLineChars="0"/>
        <w:jc w:val="center"/>
        <w:rPr>
          <w:rFonts w:ascii="楷体" w:hAnsi="楷体" w:eastAsia="楷体"/>
          <w:szCs w:val="28"/>
        </w:rPr>
      </w:pPr>
      <w:bookmarkStart w:id="109" w:name="_Toc49763004"/>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09"/>
    </w:p>
    <w:p>
      <w:pPr>
        <w:adjustRightInd w:val="0"/>
        <w:snapToGrid w:val="0"/>
        <w:spacing w:line="460" w:lineRule="exact"/>
        <w:ind w:firstLine="560"/>
        <w:rPr>
          <w:rFonts w:ascii="楷体" w:hAnsi="楷体" w:eastAsia="楷体" w:cs="Times New Roman"/>
          <w:sz w:val="28"/>
          <w:szCs w:val="28"/>
        </w:rPr>
      </w:pPr>
      <w:bookmarkStart w:id="110" w:name="_Toc49763005"/>
      <w:r>
        <w:rPr>
          <w:rFonts w:hint="eastAsia" w:ascii="楷体" w:hAnsi="楷体" w:eastAsia="楷体"/>
          <w:sz w:val="28"/>
          <w:szCs w:val="28"/>
        </w:rPr>
        <w:t>一）</w:t>
      </w:r>
      <w:r>
        <w:rPr>
          <w:rFonts w:hint="eastAsia" w:ascii="楷体" w:hAnsi="楷体" w:eastAsia="楷体" w:cs="Times New Roman"/>
          <w:sz w:val="28"/>
          <w:szCs w:val="28"/>
        </w:rPr>
        <w:t>总则</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本次评标采用综合评分法，总分为100分，其中报价得分</w:t>
      </w:r>
      <w:r>
        <w:rPr>
          <w:rFonts w:hint="eastAsia" w:ascii="楷体" w:hAnsi="楷体" w:eastAsia="楷体" w:cs="Times New Roman"/>
          <w:spacing w:val="0"/>
          <w:sz w:val="28"/>
          <w:szCs w:val="28"/>
          <w:lang w:eastAsia="zh-CN"/>
        </w:rPr>
        <w:t>70</w:t>
      </w:r>
      <w:r>
        <w:rPr>
          <w:rFonts w:hint="eastAsia" w:ascii="楷体" w:hAnsi="楷体" w:eastAsia="楷体" w:cs="Times New Roman"/>
          <w:spacing w:val="0"/>
          <w:sz w:val="28"/>
          <w:szCs w:val="28"/>
        </w:rPr>
        <w:t>分、技术得分</w:t>
      </w:r>
      <w:r>
        <w:rPr>
          <w:rFonts w:hint="eastAsia" w:ascii="楷体" w:hAnsi="楷体" w:eastAsia="楷体"/>
          <w:spacing w:val="0"/>
          <w:sz w:val="28"/>
          <w:szCs w:val="28"/>
          <w:lang w:eastAsia="zh-CN"/>
        </w:rPr>
        <w:t>30</w:t>
      </w:r>
      <w:r>
        <w:rPr>
          <w:rFonts w:hint="eastAsia" w:ascii="楷体" w:hAnsi="楷体" w:eastAsia="楷体"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楷体" w:hAnsi="楷体" w:eastAsia="楷体"/>
          <w:spacing w:val="0"/>
          <w:sz w:val="28"/>
          <w:szCs w:val="28"/>
        </w:rPr>
        <w:t>投标文件</w:t>
      </w:r>
      <w:r>
        <w:rPr>
          <w:rFonts w:hint="eastAsia" w:ascii="楷体" w:hAnsi="楷体" w:eastAsia="楷体" w:cs="Times New Roman"/>
          <w:spacing w:val="0"/>
          <w:sz w:val="28"/>
          <w:szCs w:val="28"/>
        </w:rPr>
        <w:t>不参与各项评分。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投标人评标综合得分=报价得分+技术得分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spacing w:val="0"/>
          <w:sz w:val="28"/>
          <w:szCs w:val="28"/>
        </w:rPr>
        <w:t>二）</w:t>
      </w:r>
      <w:r>
        <w:rPr>
          <w:rFonts w:hint="eastAsia" w:ascii="楷体" w:hAnsi="楷体" w:eastAsia="楷体" w:cs="Times New Roman"/>
          <w:spacing w:val="0"/>
          <w:sz w:val="28"/>
          <w:szCs w:val="28"/>
        </w:rPr>
        <w:t>评标内容及标准</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1、报价得分占总分</w:t>
      </w:r>
      <w:r>
        <w:rPr>
          <w:rFonts w:hint="eastAsia" w:ascii="楷体" w:hAnsi="楷体" w:eastAsia="楷体" w:cs="Times New Roman"/>
          <w:b/>
          <w:bCs/>
          <w:spacing w:val="0"/>
          <w:sz w:val="28"/>
          <w:szCs w:val="28"/>
          <w:lang w:val="en-US" w:eastAsia="zh-CN"/>
        </w:rPr>
        <w:t>70</w:t>
      </w:r>
      <w:r>
        <w:rPr>
          <w:rFonts w:hint="eastAsia" w:ascii="楷体" w:hAnsi="楷体" w:eastAsia="楷体" w:cs="Times New Roman"/>
          <w:b/>
          <w:bCs/>
          <w:spacing w:val="0"/>
          <w:sz w:val="28"/>
          <w:szCs w:val="28"/>
        </w:rPr>
        <w:t>%,分值为</w:t>
      </w:r>
      <w:r>
        <w:rPr>
          <w:rFonts w:hint="eastAsia" w:ascii="楷体" w:hAnsi="楷体" w:eastAsia="楷体"/>
          <w:b/>
          <w:bCs/>
          <w:spacing w:val="0"/>
          <w:sz w:val="28"/>
          <w:szCs w:val="28"/>
          <w:lang w:val="en-US" w:eastAsia="zh-CN"/>
        </w:rPr>
        <w:t>70</w:t>
      </w:r>
      <w:r>
        <w:rPr>
          <w:rFonts w:hint="eastAsia" w:ascii="楷体" w:hAnsi="楷体" w:eastAsia="楷体" w:cs="Times New Roman"/>
          <w:b/>
          <w:bCs/>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有效投标单位为在10家以内（含）的，各投标单位报价平均值作为基准分；超过10家的，去掉</w:t>
      </w:r>
      <w:r>
        <w:rPr>
          <w:rFonts w:hint="eastAsia" w:ascii="楷体" w:hAnsi="楷体" w:eastAsia="楷体"/>
          <w:spacing w:val="0"/>
          <w:sz w:val="28"/>
          <w:szCs w:val="28"/>
        </w:rPr>
        <w:t>二</w:t>
      </w:r>
      <w:r>
        <w:rPr>
          <w:rFonts w:hint="eastAsia" w:ascii="楷体" w:hAnsi="楷体" w:eastAsia="楷体" w:cs="Times New Roman"/>
          <w:spacing w:val="0"/>
          <w:sz w:val="28"/>
          <w:szCs w:val="28"/>
        </w:rPr>
        <w:t>个最高报价和二个最低报价，其余各投标单位报价平均值作为基准分（</w:t>
      </w:r>
      <w:r>
        <w:rPr>
          <w:rFonts w:hint="eastAsia" w:ascii="楷体" w:hAnsi="楷体" w:eastAsia="楷体"/>
          <w:spacing w:val="0"/>
          <w:sz w:val="28"/>
          <w:szCs w:val="28"/>
          <w:lang w:val="en-US" w:eastAsia="zh-CN"/>
        </w:rPr>
        <w:t>7</w:t>
      </w:r>
      <w:r>
        <w:rPr>
          <w:rFonts w:hint="eastAsia" w:ascii="楷体" w:hAnsi="楷体" w:eastAsia="楷体"/>
          <w:spacing w:val="0"/>
          <w:sz w:val="28"/>
          <w:szCs w:val="28"/>
          <w:lang w:eastAsia="zh-CN"/>
        </w:rPr>
        <w:t>0</w:t>
      </w:r>
      <w:r>
        <w:rPr>
          <w:rFonts w:hint="eastAsia" w:ascii="楷体" w:hAnsi="楷体" w:eastAsia="楷体" w:cs="Times New Roman"/>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报价得分＝基准分－|(投标人报价－平均报价）／平均报价|X 100 X B ;（报价得分保留2位小数）</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B取值方式为：</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1）当投标人报价高于平均报价时，B取值为1.0；</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2）当投标人报价低于平均报价时，B取值为0.5。</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2、技术得分</w:t>
      </w:r>
      <w:r>
        <w:rPr>
          <w:rFonts w:hint="eastAsia" w:ascii="楷体" w:hAnsi="楷体" w:eastAsia="楷体"/>
          <w:b/>
          <w:bCs/>
          <w:spacing w:val="0"/>
          <w:sz w:val="28"/>
          <w:szCs w:val="28"/>
          <w:lang w:eastAsia="zh-CN"/>
        </w:rPr>
        <w:t>30</w:t>
      </w:r>
      <w:r>
        <w:rPr>
          <w:rFonts w:hint="eastAsia" w:ascii="楷体" w:hAnsi="楷体" w:eastAsia="楷体" w:cs="Times New Roman"/>
          <w:b/>
          <w:bCs/>
          <w:spacing w:val="0"/>
          <w:sz w:val="28"/>
          <w:szCs w:val="28"/>
        </w:rPr>
        <w:t>分</w:t>
      </w:r>
    </w:p>
    <w:tbl>
      <w:tblPr>
        <w:tblStyle w:val="2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524"/>
        <w:gridCol w:w="731"/>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序号</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评审内容</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分值</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1</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施工组织机构和人员组成</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2</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组织机构齐全，人员配备合理得</w:t>
            </w:r>
            <w:r>
              <w:rPr>
                <w:rFonts w:hint="eastAsia" w:ascii="楷体" w:hAnsi="楷体" w:eastAsia="楷体"/>
                <w:sz w:val="28"/>
                <w:szCs w:val="28"/>
                <w:lang w:val="en-US" w:eastAsia="zh-CN"/>
              </w:rPr>
              <w:t>2</w:t>
            </w:r>
            <w:r>
              <w:rPr>
                <w:rFonts w:hint="eastAsia" w:ascii="楷体" w:hAnsi="楷体" w:eastAsia="楷体" w:cs="Times New Roman"/>
                <w:sz w:val="28"/>
                <w:szCs w:val="28"/>
              </w:rPr>
              <w:t>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2</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施工进度计划</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2</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总施工工期目标明确，关键节点明确，各分项工程施工顺序安排恰当、工序衔接合理，进度计划安排科学，得</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3</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施工质量保证体系</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质量管理体系完善，工程质量措施完善，按单位、分部和分项分解细化,具体明确，制度健全，能确保工程质量的，得</w:t>
            </w:r>
            <w:r>
              <w:rPr>
                <w:rFonts w:hint="eastAsia" w:ascii="楷体" w:hAnsi="楷体" w:eastAsia="楷体"/>
                <w:sz w:val="28"/>
                <w:szCs w:val="28"/>
                <w:lang w:val="en-US" w:eastAsia="zh-CN"/>
              </w:rPr>
              <w:t>3</w:t>
            </w:r>
            <w:r>
              <w:rPr>
                <w:rFonts w:hint="eastAsia" w:ascii="楷体" w:hAnsi="楷体" w:eastAsia="楷体" w:cs="Times New Roman"/>
                <w:sz w:val="28"/>
                <w:szCs w:val="28"/>
              </w:rPr>
              <w:t>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4</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sz w:val="28"/>
                <w:szCs w:val="28"/>
              </w:rPr>
              <w:t>材料品牌保证</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楷体" w:hAnsi="楷体" w:eastAsia="楷体" w:cs="Times New Roman"/>
                <w:sz w:val="28"/>
                <w:szCs w:val="28"/>
                <w:lang w:val="en-US" w:eastAsia="zh-CN"/>
              </w:rPr>
            </w:pPr>
            <w:r>
              <w:rPr>
                <w:rFonts w:hint="eastAsia" w:ascii="楷体" w:hAnsi="楷体" w:eastAsia="楷体"/>
                <w:sz w:val="28"/>
                <w:szCs w:val="28"/>
              </w:rPr>
              <w:t>投标文件中明确所有材料品牌及规格、且是技术要求中所列的品牌的，得</w:t>
            </w:r>
            <w:r>
              <w:rPr>
                <w:rFonts w:hint="eastAsia" w:ascii="楷体" w:hAnsi="楷体" w:eastAsia="楷体"/>
                <w:sz w:val="28"/>
                <w:szCs w:val="28"/>
                <w:lang w:val="en-US" w:eastAsia="zh-CN"/>
              </w:rPr>
              <w:t>9</w:t>
            </w:r>
            <w:r>
              <w:rPr>
                <w:rFonts w:hint="eastAsia" w:ascii="楷体" w:hAnsi="楷体" w:eastAsia="楷体"/>
                <w:sz w:val="28"/>
                <w:szCs w:val="28"/>
              </w:rPr>
              <w:t>分；所列品牌不全的，按列的数量酌情给分，给分标准为</w:t>
            </w:r>
            <w:r>
              <w:rPr>
                <w:rFonts w:hint="eastAsia" w:ascii="楷体" w:hAnsi="楷体" w:eastAsia="楷体"/>
                <w:sz w:val="28"/>
                <w:szCs w:val="28"/>
                <w:lang w:val="en-US" w:eastAsia="zh-CN"/>
              </w:rPr>
              <w:t>8</w:t>
            </w:r>
            <w:r>
              <w:rPr>
                <w:rFonts w:hint="eastAsia" w:ascii="楷体" w:hAnsi="楷体" w:eastAsia="楷体"/>
                <w:sz w:val="28"/>
                <w:szCs w:val="28"/>
              </w:rPr>
              <w:t>-1分；未列材料品牌或列出的品牌与招标文件要求均不相符得0分</w:t>
            </w:r>
            <w:r>
              <w:rPr>
                <w:rFonts w:hint="eastAsia" w:ascii="楷体" w:hAnsi="楷体" w:eastAsia="楷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5</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业    绩</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2666" w:type="pct"/>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投标单位自201</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年</w:t>
            </w:r>
            <w:r>
              <w:rPr>
                <w:rFonts w:hint="eastAsia" w:ascii="楷体" w:hAnsi="楷体" w:eastAsia="楷体" w:cs="Times New Roman"/>
                <w:spacing w:val="0"/>
                <w:sz w:val="28"/>
                <w:szCs w:val="28"/>
                <w:lang w:val="en-US" w:eastAsia="zh-CN"/>
              </w:rPr>
              <w:t>7</w:t>
            </w:r>
            <w:r>
              <w:rPr>
                <w:rFonts w:hint="eastAsia" w:ascii="楷体" w:hAnsi="楷体" w:eastAsia="楷体" w:cs="Times New Roman"/>
                <w:spacing w:val="0"/>
                <w:sz w:val="28"/>
                <w:szCs w:val="28"/>
              </w:rPr>
              <w:t>月1日至开标之日止承担</w:t>
            </w:r>
            <w:r>
              <w:rPr>
                <w:rFonts w:hint="eastAsia" w:ascii="楷体" w:hAnsi="楷体" w:eastAsia="楷体" w:cs="Times New Roman"/>
                <w:b/>
                <w:bCs/>
                <w:spacing w:val="0"/>
                <w:sz w:val="28"/>
                <w:szCs w:val="28"/>
                <w:lang w:eastAsia="zh-CN"/>
              </w:rPr>
              <w:t>实验室</w:t>
            </w:r>
            <w:r>
              <w:rPr>
                <w:rFonts w:hint="eastAsia" w:ascii="楷体" w:hAnsi="楷体" w:eastAsia="楷体" w:cs="Times New Roman"/>
                <w:spacing w:val="0"/>
                <w:sz w:val="28"/>
                <w:szCs w:val="28"/>
                <w:lang w:eastAsia="zh-CN"/>
              </w:rPr>
              <w:t>改造</w:t>
            </w:r>
            <w:r>
              <w:rPr>
                <w:rFonts w:hint="eastAsia" w:ascii="楷体" w:hAnsi="楷体" w:eastAsia="楷体" w:cs="Times New Roman"/>
                <w:spacing w:val="0"/>
                <w:sz w:val="28"/>
                <w:szCs w:val="28"/>
              </w:rPr>
              <w:t>工程的业绩，</w:t>
            </w:r>
            <w:r>
              <w:rPr>
                <w:rFonts w:hint="eastAsia" w:ascii="楷体" w:hAnsi="楷体" w:eastAsia="楷体" w:cs="Times New Roman"/>
                <w:spacing w:val="0"/>
                <w:sz w:val="28"/>
                <w:szCs w:val="28"/>
                <w:lang w:eastAsia="zh-CN"/>
              </w:rPr>
              <w:t>且合同价大于</w:t>
            </w:r>
            <w:r>
              <w:rPr>
                <w:rFonts w:hint="eastAsia" w:ascii="楷体" w:hAnsi="楷体" w:eastAsia="楷体" w:cs="Times New Roman"/>
                <w:spacing w:val="0"/>
                <w:sz w:val="28"/>
                <w:szCs w:val="28"/>
                <w:lang w:val="en-US" w:eastAsia="zh-CN"/>
              </w:rPr>
              <w:t>10万的，</w:t>
            </w:r>
            <w:r>
              <w:rPr>
                <w:rFonts w:hint="eastAsia" w:ascii="楷体" w:hAnsi="楷体" w:eastAsia="楷体" w:cs="Times New Roman"/>
                <w:spacing w:val="0"/>
                <w:sz w:val="28"/>
                <w:szCs w:val="28"/>
              </w:rPr>
              <w:t>每提供一项得</w:t>
            </w:r>
            <w:r>
              <w:rPr>
                <w:rFonts w:hint="eastAsia" w:ascii="楷体" w:hAnsi="楷体" w:eastAsia="楷体" w:cs="Times New Roman"/>
                <w:spacing w:val="0"/>
                <w:sz w:val="28"/>
                <w:szCs w:val="28"/>
                <w:lang w:val="en-US" w:eastAsia="zh-CN"/>
              </w:rPr>
              <w:t>3</w:t>
            </w:r>
            <w:r>
              <w:rPr>
                <w:rFonts w:hint="eastAsia" w:ascii="楷体" w:hAnsi="楷体" w:eastAsia="楷体" w:cs="Times New Roman"/>
                <w:spacing w:val="0"/>
                <w:sz w:val="28"/>
                <w:szCs w:val="28"/>
              </w:rPr>
              <w:t>分，最高得</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分。（认定业绩的依据为施工合同，合同的复印件装订在投标文件中，原件用档案袋密封在开标前随投标文件一起递交给监督人员，以供评委核对，未提供原件的业绩为不得分，业绩时间以合同上的时间为准。</w:t>
            </w:r>
            <w:r>
              <w:rPr>
                <w:rFonts w:hint="eastAsia" w:ascii="楷体" w:hAnsi="楷体" w:eastAsia="楷体" w:cs="Times New Roman"/>
                <w:spacing w:val="0"/>
                <w:sz w:val="28"/>
                <w:szCs w:val="28"/>
                <w:lang w:eastAsia="zh-CN"/>
              </w:rPr>
              <w:t>如</w:t>
            </w:r>
            <w:r>
              <w:rPr>
                <w:rFonts w:hint="eastAsia" w:ascii="楷体" w:hAnsi="楷体" w:eastAsia="楷体" w:cs="Times New Roman"/>
                <w:spacing w:val="0"/>
                <w:sz w:val="28"/>
                <w:szCs w:val="28"/>
              </w:rPr>
              <w:t>施工合同中不能反映</w:t>
            </w:r>
            <w:r>
              <w:rPr>
                <w:rFonts w:hint="eastAsia" w:ascii="楷体" w:hAnsi="楷体" w:eastAsia="楷体" w:cs="Times New Roman"/>
                <w:spacing w:val="0"/>
                <w:sz w:val="28"/>
                <w:szCs w:val="28"/>
                <w:lang w:eastAsia="zh-CN"/>
              </w:rPr>
              <w:t>该工程包含</w:t>
            </w:r>
            <w:r>
              <w:rPr>
                <w:rFonts w:hint="eastAsia" w:ascii="楷体" w:hAnsi="楷体" w:eastAsia="楷体" w:cs="Times New Roman"/>
                <w:b/>
                <w:bCs/>
                <w:spacing w:val="0"/>
                <w:sz w:val="28"/>
                <w:szCs w:val="28"/>
                <w:lang w:eastAsia="zh-CN"/>
              </w:rPr>
              <w:t>实验室</w:t>
            </w:r>
            <w:r>
              <w:rPr>
                <w:rFonts w:hint="eastAsia" w:ascii="楷体" w:hAnsi="楷体" w:eastAsia="楷体" w:cs="Times New Roman"/>
                <w:spacing w:val="0"/>
                <w:sz w:val="28"/>
                <w:szCs w:val="28"/>
                <w:lang w:eastAsia="zh-CN"/>
              </w:rPr>
              <w:t>施工，则</w:t>
            </w:r>
            <w:r>
              <w:rPr>
                <w:rFonts w:hint="eastAsia" w:ascii="楷体" w:hAnsi="楷体" w:eastAsia="楷体" w:cs="Times New Roman"/>
                <w:spacing w:val="0"/>
                <w:sz w:val="28"/>
                <w:szCs w:val="28"/>
              </w:rPr>
              <w:t>需提供建设单位证明，否则业绩无效</w:t>
            </w:r>
            <w:r>
              <w:rPr>
                <w:rFonts w:hint="eastAsia" w:ascii="楷体" w:hAnsi="楷体" w:eastAsia="楷体" w:cs="Times New Roman"/>
                <w:spacing w:val="0"/>
                <w:sz w:val="28"/>
                <w:szCs w:val="28"/>
                <w:lang w:eastAsia="zh-CN"/>
              </w:rPr>
              <w:t>。</w:t>
            </w:r>
            <w:r>
              <w:rPr>
                <w:rFonts w:hint="eastAsia" w:ascii="楷体" w:hAnsi="楷体" w:eastAsia="楷体" w:cs="Times New Roman"/>
                <w:spacing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6</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售后承诺</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2666" w:type="pct"/>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包括保修年限，服务标准，人员配备，维修及保障措施等，根据投标单位承诺情况由评委给予0-</w:t>
            </w:r>
            <w:r>
              <w:rPr>
                <w:rFonts w:hint="eastAsia" w:ascii="楷体" w:hAnsi="楷体" w:eastAsia="楷体"/>
                <w:spacing w:val="0"/>
                <w:sz w:val="28"/>
                <w:szCs w:val="28"/>
                <w:lang w:val="en-US" w:eastAsia="zh-CN"/>
              </w:rPr>
              <w:t>3</w:t>
            </w:r>
            <w:r>
              <w:rPr>
                <w:rFonts w:hint="eastAsia" w:ascii="楷体" w:hAnsi="楷体" w:eastAsia="楷体" w:cs="Times New Roman"/>
                <w:spacing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7</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lang w:val="en-US" w:eastAsia="zh-CN"/>
              </w:rPr>
              <w:t>踏勘</w:t>
            </w:r>
            <w:r>
              <w:rPr>
                <w:rFonts w:hint="eastAsia" w:ascii="楷体" w:hAnsi="楷体" w:eastAsia="楷体" w:cs="Times New Roman"/>
                <w:sz w:val="28"/>
                <w:szCs w:val="28"/>
              </w:rPr>
              <w:t>现场</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sz w:val="28"/>
                <w:szCs w:val="28"/>
                <w:lang w:eastAsia="zh-CN"/>
              </w:rPr>
            </w:pPr>
            <w:r>
              <w:rPr>
                <w:rFonts w:hint="eastAsia" w:ascii="楷体" w:hAnsi="楷体" w:eastAsia="楷体"/>
                <w:sz w:val="28"/>
                <w:szCs w:val="28"/>
                <w:lang w:val="en-US" w:eastAsia="zh-CN"/>
              </w:rPr>
              <w:t>2</w:t>
            </w:r>
          </w:p>
        </w:tc>
        <w:tc>
          <w:tcPr>
            <w:tcW w:w="2666" w:type="pct"/>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各投标单位按时</w:t>
            </w:r>
            <w:r>
              <w:rPr>
                <w:rFonts w:hint="eastAsia" w:ascii="楷体" w:hAnsi="楷体" w:eastAsia="楷体" w:cs="Times New Roman"/>
                <w:spacing w:val="0"/>
                <w:sz w:val="28"/>
                <w:szCs w:val="28"/>
                <w:lang w:val="en-US" w:eastAsia="zh-CN"/>
              </w:rPr>
              <w:t>踏勘</w:t>
            </w:r>
            <w:r>
              <w:rPr>
                <w:rFonts w:hint="eastAsia" w:ascii="楷体" w:hAnsi="楷体" w:eastAsia="楷体" w:cs="Times New Roman"/>
                <w:spacing w:val="0"/>
                <w:sz w:val="28"/>
                <w:szCs w:val="28"/>
              </w:rPr>
              <w:t>现场，参加现场</w:t>
            </w:r>
            <w:r>
              <w:rPr>
                <w:rFonts w:hint="eastAsia" w:ascii="楷体" w:hAnsi="楷体" w:eastAsia="楷体" w:cs="Times New Roman"/>
                <w:spacing w:val="0"/>
                <w:sz w:val="28"/>
                <w:szCs w:val="28"/>
                <w:lang w:val="en-US" w:eastAsia="zh-CN"/>
              </w:rPr>
              <w:t>踏勘者</w:t>
            </w:r>
            <w:r>
              <w:rPr>
                <w:rFonts w:hint="eastAsia" w:ascii="楷体" w:hAnsi="楷体" w:eastAsia="楷体" w:cs="Times New Roman"/>
                <w:spacing w:val="0"/>
                <w:sz w:val="28"/>
                <w:szCs w:val="28"/>
              </w:rPr>
              <w:t>得</w:t>
            </w:r>
            <w:r>
              <w:rPr>
                <w:rFonts w:hint="eastAsia" w:ascii="楷体" w:hAnsi="楷体" w:eastAsia="楷体" w:cs="Times New Roman"/>
                <w:spacing w:val="0"/>
                <w:sz w:val="28"/>
                <w:szCs w:val="28"/>
                <w:lang w:val="en-US" w:eastAsia="zh-CN"/>
              </w:rPr>
              <w:t>2</w:t>
            </w:r>
            <w:r>
              <w:rPr>
                <w:rFonts w:hint="eastAsia" w:ascii="楷体" w:hAnsi="楷体" w:eastAsia="楷体" w:cs="Times New Roman"/>
                <w:spacing w:val="0"/>
                <w:sz w:val="28"/>
                <w:szCs w:val="28"/>
              </w:rPr>
              <w:t>分，没有</w:t>
            </w:r>
            <w:r>
              <w:rPr>
                <w:rFonts w:hint="eastAsia" w:ascii="楷体" w:hAnsi="楷体" w:eastAsia="楷体" w:cs="Times New Roman"/>
                <w:spacing w:val="0"/>
                <w:sz w:val="28"/>
                <w:szCs w:val="28"/>
                <w:lang w:val="en-US" w:eastAsia="zh-CN"/>
              </w:rPr>
              <w:t>参加者</w:t>
            </w:r>
            <w:r>
              <w:rPr>
                <w:rFonts w:hint="eastAsia" w:ascii="楷体" w:hAnsi="楷体" w:eastAsia="楷体" w:cs="Times New Roman"/>
                <w:spacing w:val="0"/>
                <w:sz w:val="28"/>
                <w:szCs w:val="28"/>
              </w:rPr>
              <w:t>不得分，以</w:t>
            </w:r>
            <w:r>
              <w:rPr>
                <w:rFonts w:hint="eastAsia" w:ascii="楷体" w:hAnsi="楷体" w:eastAsia="楷体" w:cs="Times New Roman"/>
                <w:spacing w:val="0"/>
                <w:sz w:val="28"/>
                <w:szCs w:val="28"/>
                <w:lang w:val="en-US" w:eastAsia="zh-CN"/>
              </w:rPr>
              <w:t>踏勘现场签到表</w:t>
            </w:r>
            <w:r>
              <w:rPr>
                <w:rFonts w:hint="eastAsia" w:ascii="楷体" w:hAnsi="楷体" w:eastAsia="楷体" w:cs="Times New Roman"/>
                <w:spacing w:val="0"/>
                <w:sz w:val="28"/>
                <w:szCs w:val="28"/>
              </w:rPr>
              <w:t>为准。</w:t>
            </w:r>
          </w:p>
        </w:tc>
      </w:tr>
    </w:tbl>
    <w:p>
      <w:pPr>
        <w:adjustRightInd w:val="0"/>
        <w:snapToGrid w:val="0"/>
        <w:spacing w:line="460" w:lineRule="exact"/>
        <w:ind w:firstLine="560"/>
        <w:rPr>
          <w:rFonts w:ascii="楷体" w:hAnsi="楷体" w:eastAsia="楷体" w:cs="Times New Roman"/>
          <w:color w:val="FF0000"/>
          <w:sz w:val="28"/>
          <w:szCs w:val="28"/>
        </w:rPr>
      </w:pPr>
      <w:r>
        <w:rPr>
          <w:rFonts w:hint="eastAsia" w:ascii="楷体" w:hAnsi="楷体" w:eastAsia="楷体" w:cs="Times New Roman"/>
          <w:sz w:val="28"/>
          <w:szCs w:val="28"/>
        </w:rPr>
        <w:t>其他：</w:t>
      </w:r>
      <w:r>
        <w:rPr>
          <w:rFonts w:ascii="楷体" w:hAnsi="楷体" w:eastAsia="楷体" w:cs="Times New Roman"/>
          <w:sz w:val="28"/>
          <w:szCs w:val="28"/>
        </w:rPr>
        <w:t>如</w:t>
      </w:r>
      <w:r>
        <w:rPr>
          <w:rFonts w:hint="eastAsia" w:ascii="楷体" w:hAnsi="楷体" w:eastAsia="楷体" w:cs="Times New Roman"/>
          <w:sz w:val="28"/>
          <w:szCs w:val="28"/>
        </w:rPr>
        <w:t>第一</w:t>
      </w:r>
      <w:r>
        <w:rPr>
          <w:rFonts w:ascii="楷体" w:hAnsi="楷体" w:eastAsia="楷体" w:cs="Times New Roman"/>
          <w:sz w:val="28"/>
          <w:szCs w:val="28"/>
        </w:rPr>
        <w:t>中标人放弃中标</w:t>
      </w:r>
      <w:r>
        <w:rPr>
          <w:rFonts w:hint="eastAsia" w:ascii="楷体" w:hAnsi="楷体" w:eastAsia="楷体" w:cs="Times New Roman"/>
          <w:sz w:val="28"/>
          <w:szCs w:val="28"/>
        </w:rPr>
        <w:t>,</w:t>
      </w:r>
      <w:r>
        <w:rPr>
          <w:rFonts w:ascii="楷体" w:hAnsi="楷体" w:eastAsia="楷体" w:cs="Times New Roman"/>
          <w:sz w:val="28"/>
          <w:szCs w:val="28"/>
        </w:rPr>
        <w:t>或因不可抗力提出不能履行合同，或者招标文件规定应当提交履约保证金而在规定的期限内未能提交的，招标人可以</w:t>
      </w:r>
      <w:r>
        <w:rPr>
          <w:rFonts w:hint="eastAsia" w:ascii="楷体" w:hAnsi="楷体" w:eastAsia="楷体" w:cs="Times New Roman"/>
          <w:sz w:val="28"/>
          <w:szCs w:val="28"/>
        </w:rPr>
        <w:t>选择排名第二名中标人进行递补</w:t>
      </w:r>
      <w:r>
        <w:rPr>
          <w:rFonts w:ascii="楷体" w:hAnsi="楷体" w:eastAsia="楷体" w:cs="Times New Roman"/>
          <w:sz w:val="28"/>
          <w:szCs w:val="28"/>
        </w:rPr>
        <w:t>。</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sz w:val="28"/>
          <w:szCs w:val="28"/>
        </w:rPr>
        <w:t>三）</w:t>
      </w:r>
      <w:r>
        <w:rPr>
          <w:rFonts w:hint="eastAsia" w:ascii="楷体" w:hAnsi="楷体" w:eastAsia="楷体" w:cs="Times New Roman"/>
          <w:sz w:val="28"/>
          <w:szCs w:val="28"/>
        </w:rPr>
        <w:t>确定中标人</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cs="Times New Roman"/>
          <w:sz w:val="28"/>
          <w:szCs w:val="28"/>
        </w:rPr>
        <w:t>1、中标人一旦确定后，将在</w:t>
      </w:r>
      <w:r>
        <w:rPr>
          <w:rFonts w:hint="eastAsia" w:ascii="楷体" w:hAnsi="楷体" w:eastAsia="楷体" w:cs="Times New Roman"/>
          <w:sz w:val="28"/>
          <w:szCs w:val="28"/>
          <w:lang w:val="en-US" w:eastAsia="zh-CN"/>
        </w:rPr>
        <w:t>学校</w:t>
      </w:r>
      <w:r>
        <w:rPr>
          <w:rFonts w:hint="eastAsia" w:ascii="楷体" w:hAnsi="楷体" w:eastAsia="楷体" w:cs="Times New Roman"/>
          <w:sz w:val="28"/>
          <w:szCs w:val="28"/>
        </w:rPr>
        <w:t>网上公布中标人，</w:t>
      </w:r>
      <w:r>
        <w:rPr>
          <w:rFonts w:hint="eastAsia" w:ascii="楷体" w:hAnsi="楷体" w:eastAsia="楷体" w:cs="Times New Roman"/>
          <w:sz w:val="28"/>
          <w:szCs w:val="28"/>
          <w:lang w:val="en-US" w:eastAsia="zh-CN"/>
        </w:rPr>
        <w:t>一</w:t>
      </w:r>
      <w:r>
        <w:rPr>
          <w:rFonts w:hint="eastAsia" w:ascii="楷体" w:hAnsi="楷体" w:eastAsia="楷体" w:cs="Times New Roman"/>
          <w:sz w:val="28"/>
          <w:szCs w:val="28"/>
        </w:rPr>
        <w:t>个工作日内无异议，发出中标通知书。</w:t>
      </w:r>
    </w:p>
    <w:p>
      <w:pPr>
        <w:rPr>
          <w:rFonts w:asciiTheme="minorEastAsia" w:hAnsiTheme="minorEastAsia" w:eastAsiaTheme="minorEastAsia"/>
        </w:rPr>
      </w:pPr>
    </w:p>
    <w:p>
      <w:pPr>
        <w:pStyle w:val="45"/>
        <w:spacing w:line="600" w:lineRule="exact"/>
        <w:rPr>
          <w:rFonts w:ascii="Calibri" w:hAnsi="Calibri" w:eastAsia="宋体" w:cs="Times New Roman"/>
          <w:kern w:val="2"/>
          <w:sz w:val="28"/>
          <w:szCs w:val="28"/>
        </w:rPr>
      </w:pPr>
    </w:p>
    <w:p>
      <w:pPr>
        <w:jc w:val="center"/>
        <w:rPr>
          <w:rFonts w:hint="eastAsia"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1" w:name="_Toc403987220"/>
      <w:r>
        <w:rPr>
          <w:rFonts w:hint="eastAsia" w:ascii="华文中宋" w:hAnsi="华文中宋" w:eastAsia="华文中宋"/>
          <w:b/>
          <w:sz w:val="36"/>
          <w:szCs w:val="36"/>
        </w:rPr>
        <w:t>响应文件格式</w:t>
      </w:r>
      <w:bookmarkEnd w:id="110"/>
      <w:bookmarkEnd w:id="111"/>
    </w:p>
    <w:p>
      <w:pPr>
        <w:jc w:val="center"/>
        <w:rPr>
          <w:rFonts w:hAnsi="宋体"/>
          <w:b/>
          <w:sz w:val="72"/>
        </w:rPr>
      </w:pPr>
      <w:bookmarkStart w:id="112" w:name="_Hlt26671244"/>
      <w:bookmarkEnd w:id="112"/>
      <w:bookmarkStart w:id="113" w:name="_Hlt26955039"/>
      <w:bookmarkEnd w:id="113"/>
      <w:bookmarkStart w:id="114" w:name="_Toc49090576"/>
      <w:bookmarkStart w:id="115" w:name="_Toc120614282"/>
      <w:bookmarkStart w:id="116"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五、清单报价明细表</w:t>
      </w:r>
    </w:p>
    <w:p>
      <w:pPr>
        <w:adjustRightInd w:val="0"/>
        <w:snapToGrid w:val="0"/>
        <w:spacing w:line="360" w:lineRule="auto"/>
        <w:rPr>
          <w:rFonts w:ascii="宋体" w:hAnsi="宋体"/>
          <w:b/>
          <w:sz w:val="24"/>
          <w:szCs w:val="24"/>
        </w:rPr>
      </w:pPr>
      <w:r>
        <w:rPr>
          <w:rFonts w:hint="eastAsia" w:ascii="宋体" w:hAnsi="宋体"/>
          <w:b/>
          <w:sz w:val="24"/>
          <w:szCs w:val="24"/>
        </w:rPr>
        <w:t>六、施工方案</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6"/>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皖南医学院认知神经实验室改造工程项目</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4"/>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jc w:val="center"/>
        <w:rPr>
          <w:rStyle w:val="64"/>
          <w:rFonts w:ascii="华文中宋" w:hAnsi="华文中宋" w:eastAsia="华文中宋"/>
          <w:color w:val="auto"/>
          <w:sz w:val="28"/>
          <w:szCs w:val="28"/>
        </w:rPr>
      </w:pPr>
      <w:r>
        <w:rPr>
          <w:rStyle w:val="64"/>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22356583"/>
      <w:bookmarkStart w:id="118" w:name="_Toc24878535"/>
      <w:bookmarkStart w:id="119" w:name="_Toc120614291"/>
      <w:bookmarkStart w:id="120" w:name="_Toc23828483"/>
      <w:bookmarkStart w:id="121" w:name="_Toc26554103"/>
      <w:bookmarkStart w:id="122" w:name="_Toc49090582"/>
      <w:bookmarkStart w:id="123" w:name="_Toc513029281"/>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6"/>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38"/>
        <w:ind w:firstLine="0" w:firstLineChars="0"/>
        <w:rPr>
          <w:rFonts w:hint="eastAsia" w:hAnsi="宋体" w:eastAsia="宋体"/>
          <w:sz w:val="24"/>
          <w:szCs w:val="24"/>
        </w:rPr>
      </w:pPr>
    </w:p>
    <w:bookmarkEnd w:id="124"/>
    <w:p>
      <w:pPr>
        <w:jc w:val="center"/>
        <w:rPr>
          <w:rStyle w:val="64"/>
          <w:rFonts w:ascii="华文中宋" w:hAnsi="华文中宋" w:eastAsia="华文中宋"/>
          <w:b w:val="0"/>
          <w:color w:val="auto"/>
          <w:sz w:val="28"/>
          <w:szCs w:val="28"/>
        </w:rPr>
      </w:pPr>
      <w:bookmarkStart w:id="125" w:name="_Toc23828478"/>
      <w:bookmarkStart w:id="126" w:name="_Toc49090577"/>
      <w:bookmarkStart w:id="127" w:name="_Toc120614283"/>
      <w:bookmarkStart w:id="128" w:name="_Toc513029276"/>
      <w:bookmarkStart w:id="129" w:name="_Toc26554095"/>
      <w:bookmarkStart w:id="130" w:name="_Toc22356580"/>
      <w:bookmarkStart w:id="131" w:name="_Toc460901585"/>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4"/>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b/>
          <w:bCs/>
          <w:sz w:val="28"/>
          <w:szCs w:val="28"/>
        </w:rPr>
      </w:pPr>
      <w:r>
        <w:rPr>
          <w:rFonts w:hint="eastAsia" w:ascii="仿宋_GB2312" w:eastAsia="仿宋_GB2312"/>
          <w:b/>
          <w:bCs/>
          <w:sz w:val="28"/>
          <w:szCs w:val="28"/>
        </w:rPr>
        <w:t>五、清单报价明细表（结合项目需求自行编制）</w:t>
      </w:r>
    </w:p>
    <w:p>
      <w:pPr>
        <w:rPr>
          <w:rFonts w:ascii="仿宋_GB2312" w:eastAsia="仿宋_GB2312"/>
          <w:b/>
          <w:bCs/>
          <w:sz w:val="28"/>
          <w:szCs w:val="28"/>
        </w:rPr>
      </w:pPr>
      <w:r>
        <w:rPr>
          <w:rFonts w:hint="eastAsia" w:ascii="仿宋_GB2312" w:eastAsia="仿宋_GB2312"/>
          <w:b/>
          <w:bCs/>
          <w:sz w:val="28"/>
          <w:szCs w:val="28"/>
        </w:rPr>
        <w:t>六、施工方案（主要但不限于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1"/>
      <w:bookmarkStart w:id="134" w:name="OLE_LINK2"/>
      <w:bookmarkStart w:id="135" w:name="OLE_LINK3"/>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7"/>
      <w:bookmarkStart w:id="137" w:name="OLE_LINK4"/>
      <w:bookmarkStart w:id="138" w:name="OLE_LINK9"/>
      <w:bookmarkStart w:id="139" w:name="OLE_LINK6"/>
      <w:bookmarkStart w:id="140" w:name="OLE_LINK5"/>
      <w:bookmarkStart w:id="141" w:name="OLE_LINK8"/>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7"/>
      <w:bookmarkStart w:id="143" w:name="OLE_LINK78"/>
      <w:bookmarkStart w:id="144" w:name="OLE_LINK76"/>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4"/>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第五章 </w:t>
      </w:r>
      <w:r>
        <w:rPr>
          <w:rStyle w:val="29"/>
          <w:rFonts w:hint="eastAsia" w:ascii="微软雅黑" w:hAnsi="微软雅黑" w:eastAsia="黑体"/>
          <w:sz w:val="30"/>
          <w:szCs w:val="30"/>
        </w:rPr>
        <w:t> </w:t>
      </w:r>
      <w:r>
        <w:rPr>
          <w:rStyle w:val="29"/>
          <w:rFonts w:hint="eastAsia" w:ascii="黑体" w:hAnsi="黑体" w:eastAsia="黑体"/>
          <w:sz w:val="30"/>
          <w:szCs w:val="30"/>
        </w:rPr>
        <w:t>投诉的处理</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2"/>
      <w:bookmarkStart w:id="146" w:name="OLE_LINK11"/>
      <w:bookmarkStart w:id="147"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4"/>
      <w:bookmarkStart w:id="149" w:name="OLE_LINK15"/>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Style w:val="29"/>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第六章 </w:t>
      </w:r>
      <w:r>
        <w:rPr>
          <w:rStyle w:val="29"/>
          <w:rFonts w:hint="eastAsia" w:ascii="微软雅黑" w:hAnsi="微软雅黑" w:eastAsia="黑体"/>
          <w:sz w:val="30"/>
          <w:szCs w:val="30"/>
        </w:rPr>
        <w:t> </w:t>
      </w:r>
      <w:r>
        <w:rPr>
          <w:rStyle w:val="29"/>
          <w:rFonts w:hint="eastAsia" w:ascii="黑体" w:hAnsi="黑体" w:eastAsia="黑体"/>
          <w:sz w:val="30"/>
          <w:szCs w:val="30"/>
        </w:rPr>
        <w:t>法律责任</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9"/>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8"/>
      <w:bookmarkStart w:id="151" w:name="OLE_LINK17"/>
      <w:bookmarkStart w:id="152" w:name="OLE_LINK16"/>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4"/>
        <w:shd w:val="clear" w:color="auto" w:fill="FFFFFF"/>
        <w:adjustRightInd w:val="0"/>
        <w:snapToGrid w:val="0"/>
        <w:spacing w:before="0" w:beforeAutospacing="0" w:after="0" w:afterAutospacing="0" w:line="560" w:lineRule="exact"/>
        <w:ind w:firstLine="482" w:firstLineChars="200"/>
        <w:jc w:val="both"/>
        <w:rPr>
          <w:rStyle w:val="29"/>
          <w:rFonts w:ascii="仿宋_GB2312" w:hAnsi="微软雅黑" w:eastAsia="仿宋_GB2312"/>
          <w:sz w:val="24"/>
          <w:szCs w:val="24"/>
        </w:rPr>
      </w:pPr>
      <w:r>
        <w:rPr>
          <w:rStyle w:val="29"/>
          <w:rFonts w:hint="eastAsia" w:ascii="仿宋_GB2312" w:hAnsi="微软雅黑" w:eastAsia="仿宋_GB2312"/>
          <w:sz w:val="24"/>
          <w:szCs w:val="24"/>
        </w:rPr>
        <w:t>　</w:t>
      </w:r>
    </w:p>
    <w:p>
      <w:pPr>
        <w:pStyle w:val="24"/>
        <w:shd w:val="clear" w:color="auto" w:fill="FFFFFF"/>
        <w:adjustRightInd w:val="0"/>
        <w:snapToGrid w:val="0"/>
        <w:spacing w:before="0" w:beforeAutospacing="0" w:after="0" w:afterAutospacing="0" w:line="560" w:lineRule="exact"/>
        <w:jc w:val="center"/>
        <w:rPr>
          <w:rStyle w:val="29"/>
          <w:rFonts w:ascii="黑体" w:hAnsi="黑体" w:eastAsia="黑体"/>
          <w:sz w:val="24"/>
          <w:szCs w:val="24"/>
        </w:rPr>
      </w:pPr>
      <w:r>
        <w:rPr>
          <w:rStyle w:val="29"/>
          <w:rFonts w:hint="eastAsia" w:ascii="黑体" w:hAnsi="黑体" w:eastAsia="黑体"/>
          <w:sz w:val="24"/>
          <w:szCs w:val="24"/>
        </w:rPr>
        <w:t xml:space="preserve">第七章 </w:t>
      </w:r>
      <w:r>
        <w:rPr>
          <w:rStyle w:val="29"/>
          <w:rFonts w:hint="eastAsia" w:ascii="微软雅黑" w:hAnsi="微软雅黑" w:eastAsia="黑体"/>
          <w:sz w:val="24"/>
          <w:szCs w:val="24"/>
        </w:rPr>
        <w:t> </w:t>
      </w:r>
      <w:r>
        <w:rPr>
          <w:rStyle w:val="29"/>
          <w:rFonts w:hint="eastAsia" w:ascii="黑体" w:hAnsi="黑体" w:eastAsia="黑体"/>
          <w:sz w:val="24"/>
          <w:szCs w:val="24"/>
        </w:rPr>
        <w:t>附则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23A4BFB"/>
    <w:rsid w:val="02702D13"/>
    <w:rsid w:val="027E6FC9"/>
    <w:rsid w:val="02EB0F66"/>
    <w:rsid w:val="030B1590"/>
    <w:rsid w:val="03164992"/>
    <w:rsid w:val="033B177D"/>
    <w:rsid w:val="03667C72"/>
    <w:rsid w:val="03A01301"/>
    <w:rsid w:val="03B66375"/>
    <w:rsid w:val="03B86720"/>
    <w:rsid w:val="0432311F"/>
    <w:rsid w:val="04446205"/>
    <w:rsid w:val="04910E13"/>
    <w:rsid w:val="04B844FD"/>
    <w:rsid w:val="04E55E3A"/>
    <w:rsid w:val="04FC43EA"/>
    <w:rsid w:val="055A508B"/>
    <w:rsid w:val="055F6389"/>
    <w:rsid w:val="05E05ABA"/>
    <w:rsid w:val="06A411DD"/>
    <w:rsid w:val="073154DA"/>
    <w:rsid w:val="09296F01"/>
    <w:rsid w:val="092E1276"/>
    <w:rsid w:val="09564F15"/>
    <w:rsid w:val="09A84CAA"/>
    <w:rsid w:val="09AC2920"/>
    <w:rsid w:val="0A4546CD"/>
    <w:rsid w:val="0A9D2C05"/>
    <w:rsid w:val="0B6B22C9"/>
    <w:rsid w:val="0C5D773D"/>
    <w:rsid w:val="0CA710DF"/>
    <w:rsid w:val="0D7754CF"/>
    <w:rsid w:val="0D7E2A6A"/>
    <w:rsid w:val="0DA16FB4"/>
    <w:rsid w:val="0DAD78C9"/>
    <w:rsid w:val="0DF465A6"/>
    <w:rsid w:val="0E7E3960"/>
    <w:rsid w:val="0ECE2C8D"/>
    <w:rsid w:val="0F20786F"/>
    <w:rsid w:val="0F587009"/>
    <w:rsid w:val="0FD1712A"/>
    <w:rsid w:val="107556EE"/>
    <w:rsid w:val="10A328AC"/>
    <w:rsid w:val="11097CFF"/>
    <w:rsid w:val="11725165"/>
    <w:rsid w:val="11A93BAF"/>
    <w:rsid w:val="12A869B3"/>
    <w:rsid w:val="12DA0610"/>
    <w:rsid w:val="14092680"/>
    <w:rsid w:val="143811B7"/>
    <w:rsid w:val="14863CD0"/>
    <w:rsid w:val="14D709D0"/>
    <w:rsid w:val="14DC7D94"/>
    <w:rsid w:val="14E1184E"/>
    <w:rsid w:val="15973CBB"/>
    <w:rsid w:val="16192806"/>
    <w:rsid w:val="16225734"/>
    <w:rsid w:val="162437A1"/>
    <w:rsid w:val="162C38CF"/>
    <w:rsid w:val="168023D9"/>
    <w:rsid w:val="16C17241"/>
    <w:rsid w:val="17252284"/>
    <w:rsid w:val="177B58CD"/>
    <w:rsid w:val="17B1375A"/>
    <w:rsid w:val="18020BC4"/>
    <w:rsid w:val="18B051AF"/>
    <w:rsid w:val="18E70052"/>
    <w:rsid w:val="19254BEF"/>
    <w:rsid w:val="19464AA9"/>
    <w:rsid w:val="19466124"/>
    <w:rsid w:val="19836A30"/>
    <w:rsid w:val="19D43730"/>
    <w:rsid w:val="19DC3498"/>
    <w:rsid w:val="1A07319C"/>
    <w:rsid w:val="1A33516B"/>
    <w:rsid w:val="1B4F4CC3"/>
    <w:rsid w:val="1B7570E3"/>
    <w:rsid w:val="1BA211E7"/>
    <w:rsid w:val="1CEB14BC"/>
    <w:rsid w:val="1D1A4E10"/>
    <w:rsid w:val="1D28001A"/>
    <w:rsid w:val="1D862F93"/>
    <w:rsid w:val="1E2D6CC4"/>
    <w:rsid w:val="1F025BBE"/>
    <w:rsid w:val="1FD03D76"/>
    <w:rsid w:val="1FF40688"/>
    <w:rsid w:val="20020FF7"/>
    <w:rsid w:val="203877A5"/>
    <w:rsid w:val="20670E5A"/>
    <w:rsid w:val="20895274"/>
    <w:rsid w:val="20EB3EDD"/>
    <w:rsid w:val="214E2D29"/>
    <w:rsid w:val="21A428FD"/>
    <w:rsid w:val="228869AA"/>
    <w:rsid w:val="22C22324"/>
    <w:rsid w:val="22CC31F6"/>
    <w:rsid w:val="23567244"/>
    <w:rsid w:val="236513B9"/>
    <w:rsid w:val="23CD191B"/>
    <w:rsid w:val="243674C1"/>
    <w:rsid w:val="243F3E9B"/>
    <w:rsid w:val="245060A9"/>
    <w:rsid w:val="24EE3E19"/>
    <w:rsid w:val="25F72C80"/>
    <w:rsid w:val="261507FA"/>
    <w:rsid w:val="26566759"/>
    <w:rsid w:val="26EA27E4"/>
    <w:rsid w:val="27717DCB"/>
    <w:rsid w:val="281D1648"/>
    <w:rsid w:val="28574F87"/>
    <w:rsid w:val="28AF482A"/>
    <w:rsid w:val="291D580A"/>
    <w:rsid w:val="29674BDA"/>
    <w:rsid w:val="297E0FC2"/>
    <w:rsid w:val="29831EC9"/>
    <w:rsid w:val="29913DEF"/>
    <w:rsid w:val="29B44350"/>
    <w:rsid w:val="2A377AEF"/>
    <w:rsid w:val="2ADF5772"/>
    <w:rsid w:val="2B8D373E"/>
    <w:rsid w:val="2B9343A5"/>
    <w:rsid w:val="2BAC0068"/>
    <w:rsid w:val="2BF80131"/>
    <w:rsid w:val="2C231C3E"/>
    <w:rsid w:val="2C43766C"/>
    <w:rsid w:val="2C5007D8"/>
    <w:rsid w:val="2D31750C"/>
    <w:rsid w:val="2DE634B9"/>
    <w:rsid w:val="2E826240"/>
    <w:rsid w:val="2EDF550D"/>
    <w:rsid w:val="2EE45D6B"/>
    <w:rsid w:val="2F4F6B3A"/>
    <w:rsid w:val="2F633134"/>
    <w:rsid w:val="30354AD0"/>
    <w:rsid w:val="30C91186"/>
    <w:rsid w:val="31344D88"/>
    <w:rsid w:val="31495EDE"/>
    <w:rsid w:val="31921319"/>
    <w:rsid w:val="31BC6863"/>
    <w:rsid w:val="31C205E6"/>
    <w:rsid w:val="32116E77"/>
    <w:rsid w:val="32B67A1F"/>
    <w:rsid w:val="32BA4FA1"/>
    <w:rsid w:val="32FA2CBE"/>
    <w:rsid w:val="3304078A"/>
    <w:rsid w:val="333B788C"/>
    <w:rsid w:val="336F02F9"/>
    <w:rsid w:val="33833DA5"/>
    <w:rsid w:val="338B35BF"/>
    <w:rsid w:val="34092461"/>
    <w:rsid w:val="34525525"/>
    <w:rsid w:val="34EF42C7"/>
    <w:rsid w:val="35941F30"/>
    <w:rsid w:val="35E04617"/>
    <w:rsid w:val="35EA3087"/>
    <w:rsid w:val="35F25212"/>
    <w:rsid w:val="365657D0"/>
    <w:rsid w:val="36607CEC"/>
    <w:rsid w:val="36A93B22"/>
    <w:rsid w:val="36BD75CE"/>
    <w:rsid w:val="36EF1694"/>
    <w:rsid w:val="37164F30"/>
    <w:rsid w:val="37503F9E"/>
    <w:rsid w:val="37C30C14"/>
    <w:rsid w:val="388443D5"/>
    <w:rsid w:val="38FB3C73"/>
    <w:rsid w:val="390659FB"/>
    <w:rsid w:val="390D1E7C"/>
    <w:rsid w:val="399F120C"/>
    <w:rsid w:val="39F23A32"/>
    <w:rsid w:val="3A014C0D"/>
    <w:rsid w:val="3A3D3FD1"/>
    <w:rsid w:val="3B6A356D"/>
    <w:rsid w:val="3B7F0DA7"/>
    <w:rsid w:val="3BAB4838"/>
    <w:rsid w:val="3BF1493F"/>
    <w:rsid w:val="3C2E5433"/>
    <w:rsid w:val="3C474EBB"/>
    <w:rsid w:val="3C6B7ACC"/>
    <w:rsid w:val="3E2E563A"/>
    <w:rsid w:val="3E547D6D"/>
    <w:rsid w:val="3E9F0F73"/>
    <w:rsid w:val="3EA52FF6"/>
    <w:rsid w:val="3EE50F86"/>
    <w:rsid w:val="3EFC727D"/>
    <w:rsid w:val="3F2969DF"/>
    <w:rsid w:val="3F646DBC"/>
    <w:rsid w:val="42980EEF"/>
    <w:rsid w:val="43001B9C"/>
    <w:rsid w:val="43301127"/>
    <w:rsid w:val="442C18EF"/>
    <w:rsid w:val="44E0509A"/>
    <w:rsid w:val="450C5FC9"/>
    <w:rsid w:val="455B692F"/>
    <w:rsid w:val="457774F2"/>
    <w:rsid w:val="45C94FEF"/>
    <w:rsid w:val="45E22BAD"/>
    <w:rsid w:val="462D2409"/>
    <w:rsid w:val="463D2F25"/>
    <w:rsid w:val="47462CC7"/>
    <w:rsid w:val="47C1249E"/>
    <w:rsid w:val="481B4427"/>
    <w:rsid w:val="485756B9"/>
    <w:rsid w:val="48835154"/>
    <w:rsid w:val="4939003C"/>
    <w:rsid w:val="49A34401"/>
    <w:rsid w:val="49E60792"/>
    <w:rsid w:val="4A010EEA"/>
    <w:rsid w:val="4AAA17BF"/>
    <w:rsid w:val="4AFB201B"/>
    <w:rsid w:val="4B054C48"/>
    <w:rsid w:val="4C76404F"/>
    <w:rsid w:val="4CAC2800"/>
    <w:rsid w:val="4CFB5EE3"/>
    <w:rsid w:val="4D263AF9"/>
    <w:rsid w:val="4D4B074A"/>
    <w:rsid w:val="4ECC264C"/>
    <w:rsid w:val="4EF26D89"/>
    <w:rsid w:val="4FC205E1"/>
    <w:rsid w:val="4FE45773"/>
    <w:rsid w:val="502C74D1"/>
    <w:rsid w:val="507C6DB1"/>
    <w:rsid w:val="50F02837"/>
    <w:rsid w:val="516F3CBE"/>
    <w:rsid w:val="517C5E2B"/>
    <w:rsid w:val="51C25640"/>
    <w:rsid w:val="51C639B2"/>
    <w:rsid w:val="51F17F8E"/>
    <w:rsid w:val="5234643D"/>
    <w:rsid w:val="52823DEE"/>
    <w:rsid w:val="52EC4B4A"/>
    <w:rsid w:val="53510242"/>
    <w:rsid w:val="54102DA0"/>
    <w:rsid w:val="546926EB"/>
    <w:rsid w:val="54745318"/>
    <w:rsid w:val="54B565B4"/>
    <w:rsid w:val="54FA3343"/>
    <w:rsid w:val="551663CF"/>
    <w:rsid w:val="5517751A"/>
    <w:rsid w:val="55524F2D"/>
    <w:rsid w:val="56194C24"/>
    <w:rsid w:val="56F05266"/>
    <w:rsid w:val="57174680"/>
    <w:rsid w:val="57350A15"/>
    <w:rsid w:val="574A05B2"/>
    <w:rsid w:val="575168F3"/>
    <w:rsid w:val="577E025B"/>
    <w:rsid w:val="57AC6B77"/>
    <w:rsid w:val="580C3AB9"/>
    <w:rsid w:val="58732C56"/>
    <w:rsid w:val="58D02D39"/>
    <w:rsid w:val="594D5E25"/>
    <w:rsid w:val="59E14756"/>
    <w:rsid w:val="59FD3647"/>
    <w:rsid w:val="5A7E4E4D"/>
    <w:rsid w:val="5A876F07"/>
    <w:rsid w:val="5A9009D2"/>
    <w:rsid w:val="5AB55191"/>
    <w:rsid w:val="5B3A2360"/>
    <w:rsid w:val="5B871DD5"/>
    <w:rsid w:val="5BFB2CB6"/>
    <w:rsid w:val="5C7D31D8"/>
    <w:rsid w:val="5C957923"/>
    <w:rsid w:val="5CA42F27"/>
    <w:rsid w:val="5CDC0F56"/>
    <w:rsid w:val="5CE11CAD"/>
    <w:rsid w:val="5D0F5ABF"/>
    <w:rsid w:val="5D101956"/>
    <w:rsid w:val="5DC32E6C"/>
    <w:rsid w:val="5DC76880"/>
    <w:rsid w:val="5DE021E2"/>
    <w:rsid w:val="5DFA5BF3"/>
    <w:rsid w:val="5E545B85"/>
    <w:rsid w:val="5E6C12B6"/>
    <w:rsid w:val="5F765DB0"/>
    <w:rsid w:val="5F942D12"/>
    <w:rsid w:val="610C29F3"/>
    <w:rsid w:val="611E0D6E"/>
    <w:rsid w:val="622A6C63"/>
    <w:rsid w:val="623D10A6"/>
    <w:rsid w:val="62EF21DB"/>
    <w:rsid w:val="631D68AE"/>
    <w:rsid w:val="632D6F40"/>
    <w:rsid w:val="63AF1D1A"/>
    <w:rsid w:val="63F510AA"/>
    <w:rsid w:val="648E32AE"/>
    <w:rsid w:val="64A06B15"/>
    <w:rsid w:val="64BC084D"/>
    <w:rsid w:val="64D252BD"/>
    <w:rsid w:val="64E77440"/>
    <w:rsid w:val="65412DFD"/>
    <w:rsid w:val="65426D6C"/>
    <w:rsid w:val="65444892"/>
    <w:rsid w:val="657F52AC"/>
    <w:rsid w:val="65B14293"/>
    <w:rsid w:val="65C23A09"/>
    <w:rsid w:val="65ED3907"/>
    <w:rsid w:val="663742F4"/>
    <w:rsid w:val="663A01C8"/>
    <w:rsid w:val="668B2466"/>
    <w:rsid w:val="66DB439B"/>
    <w:rsid w:val="66E003B2"/>
    <w:rsid w:val="67971B84"/>
    <w:rsid w:val="6817729A"/>
    <w:rsid w:val="685F19E3"/>
    <w:rsid w:val="699E695C"/>
    <w:rsid w:val="69BF7E12"/>
    <w:rsid w:val="6A22716C"/>
    <w:rsid w:val="6A407083"/>
    <w:rsid w:val="6AE14931"/>
    <w:rsid w:val="6B5E1C10"/>
    <w:rsid w:val="6B9C09D1"/>
    <w:rsid w:val="6BAD1411"/>
    <w:rsid w:val="6BC86475"/>
    <w:rsid w:val="6C0D40F8"/>
    <w:rsid w:val="6C2E4C0D"/>
    <w:rsid w:val="6D394EF9"/>
    <w:rsid w:val="6DA6798D"/>
    <w:rsid w:val="6DED4397"/>
    <w:rsid w:val="6E313E22"/>
    <w:rsid w:val="6EB72579"/>
    <w:rsid w:val="6EEA55F9"/>
    <w:rsid w:val="6F370FC4"/>
    <w:rsid w:val="6F420D0F"/>
    <w:rsid w:val="6FAC19B2"/>
    <w:rsid w:val="6FC0720B"/>
    <w:rsid w:val="701B5C41"/>
    <w:rsid w:val="71091718"/>
    <w:rsid w:val="71587B7E"/>
    <w:rsid w:val="71816E6E"/>
    <w:rsid w:val="7249173A"/>
    <w:rsid w:val="7276222A"/>
    <w:rsid w:val="73197CE0"/>
    <w:rsid w:val="732A1BFA"/>
    <w:rsid w:val="73344FDD"/>
    <w:rsid w:val="73616E39"/>
    <w:rsid w:val="73C0694D"/>
    <w:rsid w:val="74404DBF"/>
    <w:rsid w:val="74A54B7B"/>
    <w:rsid w:val="751B270C"/>
    <w:rsid w:val="7532635D"/>
    <w:rsid w:val="75395703"/>
    <w:rsid w:val="756845CD"/>
    <w:rsid w:val="75DC28C5"/>
    <w:rsid w:val="768C17FB"/>
    <w:rsid w:val="770B16B4"/>
    <w:rsid w:val="77722493"/>
    <w:rsid w:val="77C93AFF"/>
    <w:rsid w:val="781529D2"/>
    <w:rsid w:val="783267CC"/>
    <w:rsid w:val="786D5A56"/>
    <w:rsid w:val="78EE4DE9"/>
    <w:rsid w:val="79002FDD"/>
    <w:rsid w:val="790E7239"/>
    <w:rsid w:val="790F7714"/>
    <w:rsid w:val="798474FC"/>
    <w:rsid w:val="7A2C2B5D"/>
    <w:rsid w:val="7A3C397B"/>
    <w:rsid w:val="7AA17C39"/>
    <w:rsid w:val="7AE123AE"/>
    <w:rsid w:val="7C88056F"/>
    <w:rsid w:val="7CBB28FC"/>
    <w:rsid w:val="7CC85951"/>
    <w:rsid w:val="7CEA1D6C"/>
    <w:rsid w:val="7D2106AF"/>
    <w:rsid w:val="7D2D1C58"/>
    <w:rsid w:val="7D2D2186"/>
    <w:rsid w:val="7E54777A"/>
    <w:rsid w:val="7EAC5BC9"/>
    <w:rsid w:val="7EE8612B"/>
    <w:rsid w:val="7EFE77F8"/>
    <w:rsid w:val="7F0D1D41"/>
    <w:rsid w:val="7F6041C6"/>
    <w:rsid w:val="7F7B7750"/>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Hyperlink"/>
    <w:basedOn w:val="28"/>
    <w:unhideWhenUsed/>
    <w:qFormat/>
    <w:uiPriority w:val="99"/>
    <w:rPr>
      <w:color w:val="0000FF"/>
      <w:u w:val="single"/>
    </w:rPr>
  </w:style>
  <w:style w:type="paragraph" w:styleId="31">
    <w:name w:val="List Paragraph"/>
    <w:basedOn w:val="1"/>
    <w:link w:val="63"/>
    <w:qFormat/>
    <w:uiPriority w:val="0"/>
    <w:pPr>
      <w:ind w:firstLine="420" w:firstLineChars="200"/>
    </w:pPr>
    <w:rPr>
      <w:kern w:val="0"/>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8"/>
    <w:link w:val="6"/>
    <w:qFormat/>
    <w:uiPriority w:val="0"/>
    <w:rPr>
      <w:rFonts w:ascii="宋体" w:hAnsi="Arial" w:eastAsia="黑体" w:cs="Times New Roman"/>
      <w:b/>
      <w:bCs/>
      <w:color w:val="000000"/>
      <w:kern w:val="44"/>
      <w:sz w:val="36"/>
      <w:szCs w:val="32"/>
    </w:rPr>
  </w:style>
  <w:style w:type="character" w:customStyle="1" w:styleId="49">
    <w:name w:val="标题 2 Char"/>
    <w:basedOn w:val="28"/>
    <w:link w:val="7"/>
    <w:semiHidden/>
    <w:qFormat/>
    <w:uiPriority w:val="9"/>
    <w:rPr>
      <w:rFonts w:ascii="Cambria" w:hAnsi="Cambria" w:eastAsia="宋体" w:cs="Times New Roman"/>
      <w:b/>
      <w:bCs/>
      <w:sz w:val="32"/>
      <w:szCs w:val="32"/>
    </w:rPr>
  </w:style>
  <w:style w:type="character" w:customStyle="1" w:styleId="50">
    <w:name w:val="标题 3 Char1"/>
    <w:basedOn w:val="28"/>
    <w:link w:val="8"/>
    <w:semiHidden/>
    <w:qFormat/>
    <w:uiPriority w:val="9"/>
    <w:rPr>
      <w:rFonts w:ascii="Times New Roman" w:hAnsi="Times New Roman" w:eastAsia="宋体" w:cs="Times New Roman"/>
      <w:b/>
      <w:bCs/>
      <w:sz w:val="32"/>
      <w:szCs w:val="32"/>
    </w:rPr>
  </w:style>
  <w:style w:type="character" w:customStyle="1" w:styleId="51">
    <w:name w:val="标题 4 Char"/>
    <w:basedOn w:val="28"/>
    <w:link w:val="9"/>
    <w:semiHidden/>
    <w:qFormat/>
    <w:uiPriority w:val="9"/>
    <w:rPr>
      <w:rFonts w:ascii="Cambria" w:hAnsi="Cambria" w:eastAsia="宋体" w:cs="Times New Roman"/>
      <w:b/>
      <w:bCs/>
      <w:sz w:val="28"/>
      <w:szCs w:val="28"/>
    </w:rPr>
  </w:style>
  <w:style w:type="character" w:customStyle="1" w:styleId="52">
    <w:name w:val="标题 5 Char"/>
    <w:basedOn w:val="28"/>
    <w:link w:val="10"/>
    <w:semiHidden/>
    <w:qFormat/>
    <w:uiPriority w:val="9"/>
    <w:rPr>
      <w:rFonts w:ascii="Times New Roman" w:hAnsi="Times New Roman" w:eastAsia="宋体" w:cs="Times New Roman"/>
      <w:b/>
      <w:bCs/>
      <w:sz w:val="28"/>
      <w:szCs w:val="28"/>
    </w:rPr>
  </w:style>
  <w:style w:type="character" w:customStyle="1" w:styleId="53">
    <w:name w:val="标题 6 Char"/>
    <w:basedOn w:val="28"/>
    <w:link w:val="11"/>
    <w:semiHidden/>
    <w:qFormat/>
    <w:uiPriority w:val="9"/>
    <w:rPr>
      <w:rFonts w:ascii="Cambria" w:hAnsi="Cambria" w:eastAsia="宋体" w:cs="Times New Roman"/>
      <w:b/>
      <w:bCs/>
      <w:sz w:val="24"/>
      <w:szCs w:val="24"/>
    </w:rPr>
  </w:style>
  <w:style w:type="character" w:customStyle="1" w:styleId="54">
    <w:name w:val="标题 7 Char"/>
    <w:basedOn w:val="28"/>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8"/>
    <w:link w:val="17"/>
    <w:semiHidden/>
    <w:qFormat/>
    <w:uiPriority w:val="99"/>
    <w:rPr>
      <w:rFonts w:ascii="Times New Roman" w:hAnsi="Times New Roman" w:eastAsia="宋体" w:cs="Times New Roman"/>
      <w:sz w:val="28"/>
      <w:szCs w:val="20"/>
    </w:rPr>
  </w:style>
  <w:style w:type="character" w:customStyle="1" w:styleId="57">
    <w:name w:val="批注框文本 Char"/>
    <w:basedOn w:val="28"/>
    <w:link w:val="18"/>
    <w:semiHidden/>
    <w:qFormat/>
    <w:uiPriority w:val="99"/>
    <w:rPr>
      <w:rFonts w:ascii="Times New Roman" w:hAnsi="Times New Roman" w:eastAsia="宋体" w:cs="Times New Roman"/>
      <w:sz w:val="18"/>
      <w:szCs w:val="18"/>
    </w:rPr>
  </w:style>
  <w:style w:type="character" w:customStyle="1" w:styleId="58">
    <w:name w:val="页脚 Char"/>
    <w:basedOn w:val="28"/>
    <w:link w:val="19"/>
    <w:qFormat/>
    <w:uiPriority w:val="99"/>
    <w:rPr>
      <w:rFonts w:ascii="Times New Roman" w:hAnsi="Times New Roman" w:eastAsia="宋体" w:cs="Times New Roman"/>
      <w:sz w:val="18"/>
      <w:szCs w:val="18"/>
    </w:rPr>
  </w:style>
  <w:style w:type="character" w:customStyle="1" w:styleId="59">
    <w:name w:val="页眉 Char"/>
    <w:basedOn w:val="28"/>
    <w:link w:val="20"/>
    <w:semiHidden/>
    <w:qFormat/>
    <w:uiPriority w:val="99"/>
    <w:rPr>
      <w:rFonts w:ascii="Times New Roman" w:hAnsi="Times New Roman" w:eastAsia="宋体" w:cs="Times New Roman"/>
      <w:sz w:val="18"/>
      <w:szCs w:val="18"/>
    </w:rPr>
  </w:style>
  <w:style w:type="character" w:customStyle="1" w:styleId="60">
    <w:name w:val="标题 Char"/>
    <w:basedOn w:val="28"/>
    <w:link w:val="25"/>
    <w:qFormat/>
    <w:uiPriority w:val="10"/>
    <w:rPr>
      <w:rFonts w:ascii="Cambria" w:hAnsi="Cambria" w:eastAsia="宋体" w:cs="Times New Roman"/>
      <w:b/>
      <w:bCs/>
      <w:sz w:val="32"/>
      <w:szCs w:val="32"/>
    </w:rPr>
  </w:style>
  <w:style w:type="character" w:customStyle="1" w:styleId="61">
    <w:name w:val="正文文本缩进 Char1"/>
    <w:basedOn w:val="28"/>
    <w:semiHidden/>
    <w:qFormat/>
    <w:uiPriority w:val="99"/>
    <w:rPr>
      <w:rFonts w:ascii="Times New Roman" w:hAnsi="Times New Roman" w:eastAsia="宋体" w:cs="Times New Roman"/>
      <w:sz w:val="28"/>
      <w:szCs w:val="20"/>
    </w:rPr>
  </w:style>
  <w:style w:type="character" w:customStyle="1" w:styleId="62">
    <w:name w:val="纯文本 Char"/>
    <w:basedOn w:val="28"/>
    <w:semiHidden/>
    <w:qFormat/>
    <w:uiPriority w:val="99"/>
    <w:rPr>
      <w:rFonts w:ascii="宋体" w:hAnsi="Courier New" w:eastAsia="宋体" w:cs="Courier New"/>
      <w:szCs w:val="21"/>
    </w:rPr>
  </w:style>
  <w:style w:type="character" w:customStyle="1" w:styleId="63">
    <w:name w:val="列出段落 Char"/>
    <w:link w:val="31"/>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31"/>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50</Pages>
  <Words>20407</Words>
  <Characters>21138</Characters>
  <Lines>158</Lines>
  <Paragraphs>44</Paragraphs>
  <TotalTime>251</TotalTime>
  <ScaleCrop>false</ScaleCrop>
  <LinksUpToDate>false</LinksUpToDate>
  <CharactersWithSpaces>24055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2022-09-08T06:24:37Z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EC2D55065EE9410B8AC07D03BAF4E20B</vt:lpwstr>
  </property>
</Properties>
</file>