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w:t>
      </w:r>
      <w:r>
        <w:rPr>
          <w:rFonts w:hint="eastAsia" w:eastAsia="仿宋_GB2312"/>
          <w:snapToGrid w:val="0"/>
          <w:sz w:val="30"/>
          <w:lang w:eastAsia="zh-CN"/>
        </w:rPr>
        <w:t>202</w:t>
      </w:r>
      <w:r>
        <w:rPr>
          <w:rFonts w:hint="eastAsia" w:eastAsia="仿宋_GB2312"/>
          <w:snapToGrid w:val="0"/>
          <w:sz w:val="30"/>
          <w:lang w:val="en-US" w:eastAsia="zh-CN"/>
        </w:rPr>
        <w:t>3</w:t>
      </w:r>
      <w:r>
        <w:rPr>
          <w:rFonts w:hint="eastAsia" w:eastAsia="仿宋_GB2312"/>
          <w:snapToGrid w:val="0"/>
          <w:sz w:val="30"/>
          <w:lang w:eastAsia="zh-CN"/>
        </w:rPr>
        <w:t>0</w:t>
      </w:r>
      <w:r>
        <w:rPr>
          <w:rFonts w:hint="eastAsia" w:eastAsia="仿宋_GB2312"/>
          <w:snapToGrid w:val="0"/>
          <w:sz w:val="30"/>
          <w:lang w:val="en-US" w:eastAsia="zh-CN"/>
        </w:rPr>
        <w:t>37</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114300" distR="114300">
            <wp:extent cx="3319145" cy="714375"/>
            <wp:effectExtent l="0" t="0" r="14605" b="9525"/>
            <wp:docPr id="6"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C:\Users\Administrator\Documents\Tencent Files\382851414\FileRecv\皖南医学院.jpg"/>
                    <pic:cNvPicPr>
                      <a:picLocks noChangeAspect="1"/>
                    </pic:cNvPicPr>
                  </pic:nvPicPr>
                  <pic:blipFill>
                    <a:blip r:embed="rId5"/>
                    <a:stretch>
                      <a:fillRect/>
                    </a:stretch>
                  </pic:blipFill>
                  <pic:spPr>
                    <a:xfrm>
                      <a:off x="0" y="0"/>
                      <a:ext cx="3319145" cy="714375"/>
                    </a:xfrm>
                    <a:prstGeom prst="rect">
                      <a:avLst/>
                    </a:prstGeom>
                    <a:noFill/>
                    <a:ln>
                      <a:noFill/>
                    </a:ln>
                  </pic:spPr>
                </pic:pic>
              </a:graphicData>
            </a:graphic>
          </wp:inline>
        </w:drawing>
      </w:r>
    </w:p>
    <w:p>
      <w:pPr>
        <w:jc w:val="center"/>
        <w:rPr>
          <w:rFonts w:ascii="华文中宋" w:hAnsi="华文中宋" w:eastAsia="华文中宋"/>
          <w:b/>
          <w:bCs/>
          <w:w w:val="90"/>
          <w:sz w:val="21"/>
          <w:szCs w:val="21"/>
        </w:rPr>
      </w:pPr>
    </w:p>
    <w:p>
      <w:pPr>
        <w:jc w:val="center"/>
        <w:rPr>
          <w:rFonts w:hint="eastAsia" w:asciiTheme="majorEastAsia" w:hAnsiTheme="majorEastAsia" w:eastAsiaTheme="majorEastAsia" w:cstheme="majorEastAsia"/>
          <w:b/>
          <w:bCs/>
          <w:w w:val="90"/>
          <w:sz w:val="48"/>
          <w:szCs w:val="48"/>
        </w:rPr>
      </w:pPr>
      <w:r>
        <w:rPr>
          <w:rFonts w:hint="eastAsia" w:asciiTheme="majorEastAsia" w:hAnsiTheme="majorEastAsia" w:eastAsiaTheme="majorEastAsia" w:cstheme="majorEastAsia"/>
          <w:b/>
          <w:bCs/>
          <w:sz w:val="52"/>
          <w:szCs w:val="52"/>
          <w:lang w:val="en-US" w:eastAsia="zh-CN"/>
        </w:rPr>
        <w:t>皖南医学院2023年度学生宿舍出新工程</w:t>
      </w:r>
      <w:r>
        <w:rPr>
          <w:rFonts w:hint="eastAsia" w:asciiTheme="majorEastAsia" w:hAnsiTheme="majorEastAsia" w:eastAsiaTheme="majorEastAsia" w:cstheme="majorEastAsia"/>
          <w:b/>
          <w:bCs/>
          <w:sz w:val="52"/>
          <w:szCs w:val="52"/>
          <w:lang w:eastAsia="zh-CN"/>
        </w:rPr>
        <w:t>项目</w:t>
      </w:r>
      <w:r>
        <w:rPr>
          <w:rFonts w:hint="eastAsia" w:asciiTheme="majorEastAsia" w:hAnsiTheme="majorEastAsia" w:eastAsiaTheme="majorEastAsia" w:cstheme="majorEastAsia"/>
          <w:b/>
          <w:bCs/>
          <w:sz w:val="52"/>
          <w:szCs w:val="52"/>
        </w:rPr>
        <w:t xml:space="preserve">      </w:t>
      </w:r>
      <w:r>
        <w:rPr>
          <w:rFonts w:hint="eastAsia" w:asciiTheme="majorEastAsia" w:hAnsiTheme="majorEastAsia" w:eastAsiaTheme="majorEastAsia" w:cstheme="majorEastAsia"/>
          <w:b/>
          <w:bCs/>
          <w:w w:val="90"/>
          <w:sz w:val="48"/>
          <w:szCs w:val="48"/>
        </w:rPr>
        <w:t xml:space="preserve">  </w:t>
      </w:r>
    </w:p>
    <w:p>
      <w:pPr>
        <w:jc w:val="center"/>
        <w:rPr>
          <w:rFonts w:hint="eastAsia" w:asciiTheme="majorEastAsia" w:hAnsiTheme="majorEastAsia" w:eastAsiaTheme="majorEastAsia" w:cstheme="majorEastAsia"/>
          <w:sz w:val="52"/>
          <w:szCs w:val="52"/>
        </w:rPr>
      </w:pPr>
      <w:r>
        <w:rPr>
          <w:rFonts w:hint="eastAsia" w:asciiTheme="majorEastAsia" w:hAnsiTheme="majorEastAsia" w:eastAsiaTheme="majorEastAsia" w:cstheme="majorEastAsia"/>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3</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6</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rPr>
          <w:rFonts w:ascii="仿宋_GB2312" w:hAnsi="仿宋_GB2312" w:eastAsia="仿宋_GB2312" w:cs="仿宋_GB2312"/>
          <w:b/>
          <w:sz w:val="36"/>
          <w:szCs w:val="36"/>
        </w:rPr>
      </w:pPr>
      <w:r>
        <w:rPr>
          <w:rFonts w:ascii="仿宋_GB2312" w:hAnsi="仿宋_GB2312" w:eastAsia="仿宋_GB2312" w:cs="仿宋_GB2312"/>
          <w:b/>
          <w:sz w:val="36"/>
          <w:szCs w:val="36"/>
        </w:rPr>
        <w:br w:type="page"/>
      </w:r>
    </w:p>
    <w:p>
      <w:pPr>
        <w:adjustRightInd w:val="0"/>
        <w:snapToGrid w:val="0"/>
        <w:jc w:val="center"/>
        <w:rPr>
          <w:rFonts w:ascii="仿宋_GB2312" w:hAnsi="仿宋_GB2312" w:eastAsia="仿宋_GB2312" w:cs="仿宋_GB2312"/>
          <w:b/>
          <w:sz w:val="36"/>
          <w:szCs w:val="36"/>
        </w:rPr>
      </w:pPr>
    </w:p>
    <w:p>
      <w:pPr>
        <w:pStyle w:val="20"/>
      </w:pPr>
      <w:r>
        <w:rPr>
          <w:rFonts w:hint="eastAsia"/>
        </w:rPr>
        <w:t>目  录</w:t>
      </w:r>
    </w:p>
    <w:p>
      <w:pPr>
        <w:pStyle w:val="20"/>
      </w:pPr>
    </w:p>
    <w:p>
      <w:pPr>
        <w:pStyle w:val="20"/>
        <w:rPr>
          <w:rFonts w:ascii="Calibri" w:hAnsi="Calibri" w:eastAsia="宋体"/>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"_Toc49762999" </w:instrText>
      </w:r>
      <w:r>
        <w:fldChar w:fldCharType="separate"/>
      </w:r>
      <w:r>
        <w:rPr>
          <w:rStyle w:val="32"/>
          <w:rFonts w:hint="eastAsia"/>
        </w:rPr>
        <w:t>第一章</w:t>
      </w:r>
      <w:r>
        <w:rPr>
          <w:rStyle w:val="32"/>
        </w:rPr>
        <w:t xml:space="preserve">  </w:t>
      </w:r>
      <w:r>
        <w:rPr>
          <w:rStyle w:val="32"/>
          <w:rFonts w:hint="eastAsia" w:ascii="宋体" w:hAnsi="宋体" w:eastAsia="宋体" w:cs="宋体"/>
        </w:rPr>
        <w:t>磋</w:t>
      </w:r>
      <w:r>
        <w:rPr>
          <w:rStyle w:val="32"/>
          <w:rFonts w:hint="eastAsia"/>
        </w:rPr>
        <w:t>商公告</w:t>
      </w:r>
      <w:r>
        <w:tab/>
      </w:r>
      <w:r>
        <w:fldChar w:fldCharType="begin"/>
      </w:r>
      <w:r>
        <w:instrText xml:space="preserve"> PAGEREF _Toc49762999 \h </w:instrText>
      </w:r>
      <w:r>
        <w:fldChar w:fldCharType="separate"/>
      </w:r>
      <w:r>
        <w:t>1</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"_Toc49763000" </w:instrText>
      </w:r>
      <w:r>
        <w:fldChar w:fldCharType="separate"/>
      </w:r>
      <w:r>
        <w:rPr>
          <w:rStyle w:val="32"/>
          <w:rFonts w:hint="eastAsia"/>
        </w:rPr>
        <w:t>第二章</w:t>
      </w:r>
      <w:r>
        <w:rPr>
          <w:rStyle w:val="32"/>
        </w:rPr>
        <w:t xml:space="preserve">  </w:t>
      </w:r>
      <w:r>
        <w:rPr>
          <w:rStyle w:val="32"/>
          <w:rFonts w:hint="eastAsia"/>
        </w:rPr>
        <w:t>磋商须知前附表</w:t>
      </w:r>
      <w:r>
        <w:tab/>
      </w:r>
      <w:r>
        <w:fldChar w:fldCharType="begin"/>
      </w:r>
      <w:r>
        <w:instrText xml:space="preserve"> PAGEREF _Toc49763000 \h </w:instrText>
      </w:r>
      <w:r>
        <w:fldChar w:fldCharType="separate"/>
      </w:r>
      <w:r>
        <w:t>3</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"_Toc49763001" </w:instrText>
      </w:r>
      <w:r>
        <w:fldChar w:fldCharType="separate"/>
      </w:r>
      <w:r>
        <w:rPr>
          <w:rStyle w:val="32"/>
          <w:rFonts w:hint="eastAsia"/>
        </w:rPr>
        <w:t>第三章</w:t>
      </w:r>
      <w:r>
        <w:rPr>
          <w:rStyle w:val="32"/>
        </w:rPr>
        <w:t xml:space="preserve">  </w:t>
      </w:r>
      <w:r>
        <w:rPr>
          <w:rStyle w:val="32"/>
          <w:rFonts w:hint="eastAsia"/>
        </w:rPr>
        <w:t>磋商须知</w:t>
      </w:r>
      <w:r>
        <w:tab/>
      </w:r>
      <w:r>
        <w:fldChar w:fldCharType="begin"/>
      </w:r>
      <w:r>
        <w:instrText xml:space="preserve"> PAGEREF _Toc49763001 \h </w:instrText>
      </w:r>
      <w:r>
        <w:fldChar w:fldCharType="separate"/>
      </w:r>
      <w:r>
        <w:t>4</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"_Toc49763002" </w:instrText>
      </w:r>
      <w:r>
        <w:fldChar w:fldCharType="separate"/>
      </w:r>
      <w:r>
        <w:rPr>
          <w:rStyle w:val="32"/>
          <w:rFonts w:hint="eastAsia"/>
        </w:rPr>
        <w:t>第四章</w:t>
      </w:r>
      <w:r>
        <w:rPr>
          <w:rStyle w:val="32"/>
        </w:rPr>
        <w:t xml:space="preserve">  </w:t>
      </w:r>
      <w:r>
        <w:rPr>
          <w:rStyle w:val="32"/>
          <w:rFonts w:hint="eastAsia"/>
        </w:rPr>
        <w:t>合同主要条款</w:t>
      </w:r>
      <w:r>
        <w:tab/>
      </w:r>
      <w:r>
        <w:fldChar w:fldCharType="begin"/>
      </w:r>
      <w:r>
        <w:instrText xml:space="preserve"> PAGEREF _Toc49763002 \h </w:instrText>
      </w:r>
      <w:r>
        <w:fldChar w:fldCharType="separate"/>
      </w:r>
      <w:r>
        <w:t>11</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"_Toc49763003" </w:instrText>
      </w:r>
      <w:r>
        <w:fldChar w:fldCharType="separate"/>
      </w:r>
      <w:r>
        <w:rPr>
          <w:rStyle w:val="32"/>
          <w:rFonts w:hint="eastAsia"/>
        </w:rPr>
        <w:t>第五章</w:t>
      </w:r>
      <w:r>
        <w:rPr>
          <w:rStyle w:val="32"/>
        </w:rPr>
        <w:t xml:space="preserve">  </w:t>
      </w:r>
      <w:r>
        <w:rPr>
          <w:rStyle w:val="32"/>
          <w:rFonts w:hint="eastAsia"/>
        </w:rPr>
        <w:t>项目需求</w:t>
      </w:r>
      <w:r>
        <w:tab/>
      </w:r>
      <w:r>
        <w:fldChar w:fldCharType="begin"/>
      </w:r>
      <w:r>
        <w:instrText xml:space="preserve"> PAGEREF _Toc49763003 \h </w:instrText>
      </w:r>
      <w:r>
        <w:fldChar w:fldCharType="separate"/>
      </w:r>
      <w:r>
        <w:t>14</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"_Toc49763004" </w:instrText>
      </w:r>
      <w:r>
        <w:fldChar w:fldCharType="separate"/>
      </w:r>
      <w:r>
        <w:rPr>
          <w:rStyle w:val="32"/>
          <w:rFonts w:hint="eastAsia"/>
        </w:rPr>
        <w:t>第六章</w:t>
      </w:r>
      <w:r>
        <w:rPr>
          <w:rStyle w:val="32"/>
        </w:rPr>
        <w:t xml:space="preserve">  </w:t>
      </w:r>
      <w:r>
        <w:rPr>
          <w:rStyle w:val="32"/>
          <w:rFonts w:hint="eastAsia"/>
        </w:rPr>
        <w:t>评分办法和评分细则</w:t>
      </w:r>
      <w:r>
        <w:tab/>
      </w:r>
      <w:r>
        <w:fldChar w:fldCharType="begin"/>
      </w:r>
      <w:r>
        <w:instrText xml:space="preserve"> PAGEREF _Toc49763004 \h </w:instrText>
      </w:r>
      <w:r>
        <w:fldChar w:fldCharType="separate"/>
      </w:r>
      <w:r>
        <w:t>15</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"_Toc49763005" </w:instrText>
      </w:r>
      <w:r>
        <w:fldChar w:fldCharType="separate"/>
      </w:r>
      <w:r>
        <w:rPr>
          <w:rStyle w:val="32"/>
          <w:rFonts w:hint="eastAsia"/>
        </w:rPr>
        <w:t>第七章</w:t>
      </w:r>
      <w:r>
        <w:rPr>
          <w:rStyle w:val="32"/>
        </w:rPr>
        <w:t xml:space="preserve">  </w:t>
      </w:r>
      <w:r>
        <w:rPr>
          <w:rStyle w:val="32"/>
          <w:rFonts w:hint="eastAsia"/>
        </w:rPr>
        <w:t>响应文件格式</w:t>
      </w:r>
      <w:r>
        <w:tab/>
      </w:r>
      <w:r>
        <w:fldChar w:fldCharType="begin"/>
      </w:r>
      <w:r>
        <w:instrText xml:space="preserve"> PAGEREF _Toc49763005 \h </w:instrText>
      </w:r>
      <w:r>
        <w:fldChar w:fldCharType="separate"/>
      </w:r>
      <w:r>
        <w:t>17</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720" w:num="1"/>
          <w:docGrid w:type="lines" w:linePitch="312" w:charSpace="0"/>
        </w:sectPr>
      </w:pPr>
    </w:p>
    <w:p>
      <w:pPr>
        <w:pStyle w:val="3"/>
        <w:ind w:firstLine="1446" w:firstLineChars="400"/>
        <w:rPr>
          <w:rFonts w:hint="eastAsia" w:ascii="宋体" w:hAnsi="宋体" w:eastAsia="宋体" w:cs="宋体"/>
          <w:color w:val="auto"/>
          <w:szCs w:val="21"/>
        </w:rPr>
      </w:pPr>
      <w:bookmarkStart w:id="0" w:name="_Toc49762999"/>
      <w:r>
        <w:rPr>
          <w:rFonts w:hint="eastAsia" w:ascii="宋体" w:hAnsi="宋体" w:eastAsia="宋体" w:cs="宋体"/>
          <w:color w:val="auto"/>
          <w:szCs w:val="21"/>
        </w:rPr>
        <w:t>第一章  磋商公告</w:t>
      </w:r>
      <w:bookmarkEnd w:id="0"/>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我校</w:t>
      </w:r>
      <w:r>
        <w:rPr>
          <w:rFonts w:hint="eastAsia" w:ascii="仿宋_GB2312" w:eastAsia="仿宋_GB2312" w:cs="宋体"/>
          <w:sz w:val="24"/>
          <w:szCs w:val="24"/>
          <w:lang w:val="en-US" w:eastAsia="zh-CN"/>
        </w:rPr>
        <w:t>2023年度学生宿舍出新工程改造项目</w:t>
      </w:r>
      <w:r>
        <w:rPr>
          <w:rFonts w:hint="default" w:ascii="仿宋_GB2312" w:eastAsia="仿宋_GB2312" w:cs="宋体"/>
          <w:sz w:val="24"/>
          <w:szCs w:val="24"/>
          <w:lang w:val="en-US" w:eastAsia="zh-CN"/>
        </w:rPr>
        <w:t>采取磋商的方式进行采购，现邀请符合资质条件的供应商参加投标和磋商。具体情况如下：</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一、项目概况：</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（一）项目名称：</w:t>
      </w:r>
      <w:r>
        <w:rPr>
          <w:rFonts w:hint="eastAsia" w:ascii="仿宋_GB2312" w:eastAsia="仿宋_GB2312" w:cs="宋体"/>
          <w:sz w:val="24"/>
          <w:szCs w:val="24"/>
          <w:lang w:val="en-US" w:eastAsia="zh-CN"/>
        </w:rPr>
        <w:t>2023年度学生宿舍出新工程项目</w:t>
      </w:r>
      <w:r>
        <w:rPr>
          <w:rFonts w:hint="default" w:ascii="仿宋_GB2312" w:eastAsia="仿宋_GB2312" w:cs="宋体"/>
          <w:sz w:val="24"/>
          <w:szCs w:val="24"/>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（二）项目编号：WYGZ</w:t>
      </w:r>
      <w:r>
        <w:rPr>
          <w:rFonts w:hint="eastAsia" w:ascii="仿宋_GB2312" w:eastAsia="仿宋_GB2312" w:cs="宋体"/>
          <w:sz w:val="24"/>
          <w:szCs w:val="24"/>
          <w:lang w:val="en-US" w:eastAsia="zh-CN"/>
        </w:rPr>
        <w:t>2023037</w:t>
      </w:r>
      <w:r>
        <w:rPr>
          <w:rFonts w:hint="default" w:ascii="仿宋_GB2312" w:eastAsia="仿宋_GB2312" w:cs="宋体"/>
          <w:sz w:val="24"/>
          <w:szCs w:val="24"/>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（三）</w:t>
      </w:r>
      <w:r>
        <w:rPr>
          <w:rFonts w:hint="default" w:ascii="仿宋_GB2312" w:hAnsi="宋体" w:eastAsia="仿宋_GB2312" w:cs="宋体"/>
          <w:kern w:val="0"/>
          <w:sz w:val="24"/>
          <w:szCs w:val="24"/>
          <w:lang w:val="en-US" w:eastAsia="zh-CN" w:bidi="ar-SA"/>
        </w:rPr>
        <w:t>项目内容：详见项目需求</w:t>
      </w:r>
      <w:r>
        <w:rPr>
          <w:rFonts w:hint="eastAsia" w:ascii="仿宋_GB2312" w:hAnsi="宋体" w:eastAsia="仿宋_GB2312" w:cs="宋体"/>
          <w:kern w:val="0"/>
          <w:sz w:val="24"/>
          <w:szCs w:val="24"/>
          <w:lang w:val="en-US" w:eastAsia="zh-CN" w:bidi="ar-SA"/>
        </w:rPr>
        <w:t>。</w:t>
      </w:r>
    </w:p>
    <w:p>
      <w:pPr>
        <w:pStyle w:val="25"/>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rPr>
      </w:pPr>
      <w:r>
        <w:rPr>
          <w:rFonts w:hint="default" w:ascii="仿宋_GB2312" w:eastAsia="仿宋_GB2312" w:cs="宋体"/>
          <w:sz w:val="24"/>
          <w:szCs w:val="24"/>
          <w:lang w:val="en-US" w:eastAsia="zh-CN"/>
        </w:rPr>
        <w:t>（四）项目预算：</w:t>
      </w:r>
      <w:r>
        <w:rPr>
          <w:rFonts w:hint="eastAsia" w:ascii="仿宋_GB2312" w:eastAsia="仿宋_GB2312" w:cs="宋体"/>
          <w:sz w:val="24"/>
          <w:szCs w:val="24"/>
          <w:lang w:val="en-US" w:eastAsia="zh-CN"/>
        </w:rPr>
        <w:t>59万元。</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二、投标资质：</w:t>
      </w:r>
    </w:p>
    <w:p>
      <w:pPr>
        <w:pStyle w:val="25"/>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eastAsia="仿宋_GB2312" w:cs="宋体"/>
          <w:kern w:val="0"/>
          <w:sz w:val="24"/>
          <w:szCs w:val="24"/>
          <w:lang w:val="en-US" w:eastAsia="zh-CN" w:bidi="ar-SA"/>
        </w:rPr>
        <w:t>2</w:t>
      </w:r>
      <w:r>
        <w:rPr>
          <w:rFonts w:hint="eastAsia" w:ascii="仿宋_GB2312" w:hAnsi="宋体" w:eastAsia="仿宋_GB2312" w:cs="宋体"/>
          <w:kern w:val="0"/>
          <w:sz w:val="24"/>
          <w:szCs w:val="24"/>
          <w:lang w:val="en-US" w:eastAsia="zh-CN" w:bidi="ar-SA"/>
        </w:rPr>
        <w:t>.1投标人须具有独立承担民事责任的能力；</w:t>
      </w:r>
    </w:p>
    <w:p>
      <w:pPr>
        <w:pStyle w:val="25"/>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eastAsia="仿宋_GB2312" w:cs="宋体"/>
          <w:kern w:val="0"/>
          <w:sz w:val="24"/>
          <w:szCs w:val="24"/>
          <w:lang w:val="en-US" w:eastAsia="zh-CN" w:bidi="ar-SA"/>
        </w:rPr>
        <w:t>2</w:t>
      </w:r>
      <w:r>
        <w:rPr>
          <w:rFonts w:hint="eastAsia" w:ascii="仿宋_GB2312" w:hAnsi="宋体" w:eastAsia="仿宋_GB2312" w:cs="宋体"/>
          <w:kern w:val="0"/>
          <w:sz w:val="24"/>
          <w:szCs w:val="24"/>
          <w:lang w:val="en-US" w:eastAsia="zh-CN" w:bidi="ar-SA"/>
        </w:rPr>
        <w:t>.2投标人须具备具有建筑装修装饰工程专业承包贰级（或以上）资质；</w:t>
      </w:r>
    </w:p>
    <w:p>
      <w:pPr>
        <w:pStyle w:val="25"/>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eastAsia="仿宋_GB2312" w:cs="宋体"/>
          <w:kern w:val="0"/>
          <w:sz w:val="24"/>
          <w:szCs w:val="24"/>
          <w:lang w:val="en-US" w:eastAsia="zh-CN" w:bidi="ar-SA"/>
        </w:rPr>
        <w:t>2</w:t>
      </w:r>
      <w:r>
        <w:rPr>
          <w:rFonts w:hint="eastAsia" w:ascii="仿宋_GB2312" w:hAnsi="宋体" w:eastAsia="仿宋_GB2312" w:cs="宋体"/>
          <w:kern w:val="0"/>
          <w:sz w:val="24"/>
          <w:szCs w:val="24"/>
          <w:lang w:val="en-US" w:eastAsia="zh-CN" w:bidi="ar-SA"/>
        </w:rPr>
        <w:t>.3投标人须具备有效的安全生产许可证。</w:t>
      </w:r>
    </w:p>
    <w:p>
      <w:pPr>
        <w:pStyle w:val="25"/>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项目负责人资格要求：</w:t>
      </w:r>
    </w:p>
    <w:p>
      <w:pPr>
        <w:pStyle w:val="25"/>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投标人拟委任的项目负责人须具备建筑工程专业贰级（或以上）注册建造师执业资格，具备有效的安全生产考核合格证书。</w:t>
      </w:r>
    </w:p>
    <w:p>
      <w:pPr>
        <w:pStyle w:val="25"/>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3.其他要求</w:t>
      </w:r>
    </w:p>
    <w:p>
      <w:pPr>
        <w:pStyle w:val="25"/>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在皖南医学院有项目业绩的单位，被学校以工期延误或决算办理迟缓发函警告的单位禁止参加。</w:t>
      </w:r>
    </w:p>
    <w:p>
      <w:pPr>
        <w:pStyle w:val="25"/>
        <w:adjustRightInd w:val="0"/>
        <w:snapToGrid w:val="0"/>
        <w:spacing w:before="0" w:beforeAutospacing="0" w:after="0" w:afterAutospacing="0" w:line="360" w:lineRule="auto"/>
        <w:ind w:firstLine="480" w:firstLineChars="200"/>
        <w:jc w:val="both"/>
        <w:rPr>
          <w:rFonts w:hint="default" w:ascii="仿宋_GB2312" w:eastAsia="仿宋_GB2312" w:cs="宋体"/>
          <w:kern w:val="0"/>
          <w:sz w:val="24"/>
          <w:szCs w:val="24"/>
          <w:lang w:val="en-US" w:eastAsia="zh-CN" w:bidi="ar-SA"/>
        </w:rPr>
      </w:pPr>
      <w:r>
        <w:rPr>
          <w:rFonts w:hint="eastAsia" w:ascii="仿宋_GB2312" w:eastAsia="仿宋_GB2312" w:cs="宋体"/>
          <w:kern w:val="0"/>
          <w:sz w:val="24"/>
          <w:szCs w:val="24"/>
          <w:lang w:val="en-US" w:eastAsia="zh-CN" w:bidi="ar-SA"/>
        </w:rPr>
        <w:t>（4）本项目不接受联合体投标</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三、报名时间及方式：</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lang w:val="en-US" w:eastAsia="zh-CN"/>
        </w:rPr>
        <w:t>（一）</w:t>
      </w:r>
      <w:r>
        <w:rPr>
          <w:rFonts w:hint="default" w:ascii="仿宋_GB2312" w:eastAsia="仿宋_GB2312" w:cs="宋体"/>
          <w:sz w:val="24"/>
          <w:szCs w:val="24"/>
          <w:highlight w:val="none"/>
          <w:lang w:val="en-US" w:eastAsia="zh-CN"/>
        </w:rPr>
        <w:t>报名时间：202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6</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25</w:t>
      </w:r>
      <w:r>
        <w:rPr>
          <w:rFonts w:hint="default" w:ascii="仿宋_GB2312" w:eastAsia="仿宋_GB2312" w:cs="宋体"/>
          <w:sz w:val="24"/>
          <w:szCs w:val="24"/>
          <w:highlight w:val="none"/>
          <w:lang w:val="en-US" w:eastAsia="zh-CN"/>
        </w:rPr>
        <w:t>日-202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6</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日下午5:00；</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仿宋_GB2312" w:hAnsi="宋体" w:eastAsia="仿宋_GB2312" w:cs="宋体"/>
          <w:kern w:val="0"/>
          <w:sz w:val="24"/>
          <w:szCs w:val="24"/>
          <w:highlight w:val="none"/>
          <w:lang w:val="zh-CN" w:eastAsia="zh-CN" w:bidi="ar-SA"/>
        </w:rPr>
      </w:pPr>
      <w:r>
        <w:rPr>
          <w:rFonts w:hint="eastAsia" w:ascii="仿宋_GB2312" w:eastAsia="仿宋_GB2312" w:cs="宋体"/>
          <w:sz w:val="24"/>
          <w:szCs w:val="24"/>
          <w:highlight w:val="none"/>
          <w:lang w:val="zh-CN"/>
        </w:rPr>
        <w:t>（二）</w:t>
      </w:r>
      <w:r>
        <w:rPr>
          <w:rFonts w:hint="eastAsia" w:ascii="仿宋_GB2312" w:hAnsi="宋体" w:eastAsia="仿宋_GB2312" w:cs="宋体"/>
          <w:kern w:val="0"/>
          <w:sz w:val="24"/>
          <w:szCs w:val="24"/>
          <w:highlight w:val="none"/>
          <w:lang w:val="zh-CN" w:eastAsia="zh-CN" w:bidi="ar-SA"/>
        </w:rPr>
        <w:t>报名方式：</w:t>
      </w:r>
      <w:r>
        <w:rPr>
          <w:rFonts w:hint="eastAsia" w:ascii="仿宋_GB2312" w:hAnsi="宋体" w:eastAsia="仿宋_GB2312" w:cs="宋体"/>
          <w:kern w:val="0"/>
          <w:sz w:val="24"/>
          <w:szCs w:val="24"/>
          <w:highlight w:val="none"/>
          <w:lang w:val="en-US" w:eastAsia="zh-CN" w:bidi="ar-SA"/>
        </w:rPr>
        <w:t>2023年度学生宿舍出新工程项目</w:t>
      </w:r>
      <w:r>
        <w:rPr>
          <w:rFonts w:hint="default" w:ascii="仿宋_GB2312" w:hAnsi="宋体" w:eastAsia="仿宋_GB2312" w:cs="宋体"/>
          <w:kern w:val="0"/>
          <w:sz w:val="24"/>
          <w:szCs w:val="24"/>
          <w:highlight w:val="none"/>
          <w:lang w:val="en-US" w:eastAsia="zh-CN" w:bidi="ar-SA"/>
        </w:rPr>
        <w:t>（项目编号：WYGZ</w:t>
      </w:r>
      <w:r>
        <w:rPr>
          <w:rFonts w:hint="eastAsia" w:ascii="仿宋_GB2312" w:hAnsi="宋体" w:eastAsia="仿宋_GB2312" w:cs="宋体"/>
          <w:kern w:val="0"/>
          <w:sz w:val="24"/>
          <w:szCs w:val="24"/>
          <w:highlight w:val="none"/>
          <w:lang w:val="en-US" w:eastAsia="zh-CN" w:bidi="ar-SA"/>
        </w:rPr>
        <w:t>2023037</w:t>
      </w:r>
      <w:r>
        <w:rPr>
          <w:rFonts w:hint="default" w:ascii="仿宋_GB2312" w:hAnsi="宋体" w:eastAsia="仿宋_GB2312" w:cs="宋体"/>
          <w:kern w:val="0"/>
          <w:sz w:val="24"/>
          <w:szCs w:val="24"/>
          <w:highlight w:val="none"/>
          <w:lang w:val="en-US" w:eastAsia="zh-CN" w:bidi="ar-SA"/>
        </w:rPr>
        <w:t>）已在皖南医学院网上采购平台（http://wnmc.youzhicai.com/）发布，请潜在供应商在皖南医学院网上采购平台参与项目</w:t>
      </w:r>
      <w:r>
        <w:rPr>
          <w:rFonts w:hint="eastAsia" w:ascii="仿宋_GB2312" w:hAnsi="宋体" w:eastAsia="仿宋_GB2312" w:cs="宋体"/>
          <w:kern w:val="0"/>
          <w:sz w:val="24"/>
          <w:szCs w:val="24"/>
          <w:highlight w:val="none"/>
          <w:lang w:val="en-US" w:eastAsia="zh-CN" w:bidi="ar-SA"/>
        </w:rPr>
        <w:t>报名</w:t>
      </w:r>
      <w:r>
        <w:rPr>
          <w:rFonts w:hint="eastAsia" w:ascii="仿宋_GB2312" w:hAnsi="宋体" w:eastAsia="仿宋_GB2312" w:cs="宋体"/>
          <w:kern w:val="0"/>
          <w:sz w:val="24"/>
          <w:szCs w:val="24"/>
          <w:highlight w:val="none"/>
          <w:lang w:val="zh-CN" w:eastAsia="zh-CN" w:bidi="ar-SA"/>
        </w:rPr>
        <w:t>；</w:t>
      </w:r>
    </w:p>
    <w:p>
      <w:pPr>
        <w:pStyle w:val="25"/>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firstLineChars="200"/>
        <w:jc w:val="both"/>
        <w:textAlignment w:val="auto"/>
        <w:rPr>
          <w:rFonts w:hint="eastAsia" w:ascii="仿宋_GB2312" w:eastAsia="仿宋_GB2312" w:cs="宋体"/>
          <w:sz w:val="24"/>
          <w:szCs w:val="24"/>
          <w:highlight w:val="none"/>
          <w:lang w:val="zh-CN"/>
        </w:rPr>
      </w:pPr>
      <w:r>
        <w:rPr>
          <w:rFonts w:hint="eastAsia" w:ascii="仿宋_GB2312" w:eastAsia="仿宋_GB2312" w:cs="宋体"/>
          <w:sz w:val="24"/>
          <w:szCs w:val="24"/>
          <w:highlight w:val="none"/>
          <w:lang w:val="zh-CN"/>
        </w:rPr>
        <w:t>（三）招标文件获取：自行下载。</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四、响应文件份数：一式三份（正本一份，副本二份），每份响应文件须清楚表明“正本”或“副本”字样。</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五、响应文件递交：</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（一）响应文件递交截止时间：202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7</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12</w:t>
      </w:r>
      <w:r>
        <w:rPr>
          <w:rFonts w:hint="default" w:ascii="仿宋_GB2312" w:eastAsia="仿宋_GB2312" w:cs="宋体"/>
          <w:sz w:val="24"/>
          <w:szCs w:val="24"/>
          <w:highlight w:val="none"/>
          <w:lang w:val="en-US" w:eastAsia="zh-CN"/>
        </w:rPr>
        <w:t>日</w:t>
      </w:r>
      <w:r>
        <w:rPr>
          <w:rFonts w:hint="eastAsia" w:ascii="仿宋_GB2312" w:eastAsia="仿宋_GB2312" w:cs="宋体"/>
          <w:sz w:val="24"/>
          <w:szCs w:val="24"/>
          <w:highlight w:val="none"/>
          <w:lang w:val="en-US" w:eastAsia="zh-CN"/>
        </w:rPr>
        <w:t>下</w:t>
      </w:r>
      <w:r>
        <w:rPr>
          <w:rFonts w:hint="default" w:ascii="仿宋_GB2312" w:eastAsia="仿宋_GB2312" w:cs="宋体"/>
          <w:sz w:val="24"/>
          <w:szCs w:val="24"/>
          <w:highlight w:val="none"/>
          <w:lang w:val="en-US" w:eastAsia="zh-CN"/>
        </w:rPr>
        <w:t>午</w:t>
      </w:r>
      <w:r>
        <w:rPr>
          <w:rFonts w:hint="eastAsia" w:ascii="仿宋_GB2312" w:eastAsia="仿宋_GB2312" w:cs="宋体"/>
          <w:sz w:val="24"/>
          <w:szCs w:val="24"/>
          <w:highlight w:val="none"/>
          <w:lang w:val="en-US" w:eastAsia="zh-CN"/>
        </w:rPr>
        <w:t>14</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（二）响应文件开启时间：202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7</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12</w:t>
      </w:r>
      <w:r>
        <w:rPr>
          <w:rFonts w:hint="default" w:ascii="仿宋_GB2312" w:eastAsia="仿宋_GB2312" w:cs="宋体"/>
          <w:sz w:val="24"/>
          <w:szCs w:val="24"/>
          <w:highlight w:val="none"/>
          <w:lang w:val="en-US" w:eastAsia="zh-CN"/>
        </w:rPr>
        <w:t>日</w:t>
      </w:r>
      <w:r>
        <w:rPr>
          <w:rFonts w:hint="eastAsia" w:ascii="仿宋_GB2312" w:eastAsia="仿宋_GB2312" w:cs="宋体"/>
          <w:sz w:val="24"/>
          <w:szCs w:val="24"/>
          <w:highlight w:val="none"/>
          <w:lang w:val="en-US" w:eastAsia="zh-CN"/>
        </w:rPr>
        <w:t>下</w:t>
      </w:r>
      <w:r>
        <w:rPr>
          <w:rFonts w:hint="default" w:ascii="仿宋_GB2312" w:eastAsia="仿宋_GB2312" w:cs="宋体"/>
          <w:sz w:val="24"/>
          <w:szCs w:val="24"/>
          <w:highlight w:val="none"/>
          <w:lang w:val="en-US" w:eastAsia="zh-CN"/>
        </w:rPr>
        <w:t>午</w:t>
      </w:r>
      <w:r>
        <w:rPr>
          <w:rFonts w:hint="eastAsia" w:ascii="仿宋_GB2312" w:eastAsia="仿宋_GB2312" w:cs="宋体"/>
          <w:sz w:val="24"/>
          <w:szCs w:val="24"/>
          <w:highlight w:val="none"/>
          <w:lang w:val="en-US" w:eastAsia="zh-CN"/>
        </w:rPr>
        <w:t>14</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（三）地点：芜湖市弋江区文昌西路22号皖南医学院滨江校区图书信息楼东辅楼5楼5002室；</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（四）递交响应文件时间截止后，磋商小组与供应商磋商，请供应商法定代表人或其授权委托代表（提供授权委托书）出席。</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六、联系方式：</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（一）联系人：</w:t>
      </w:r>
      <w:r>
        <w:rPr>
          <w:rFonts w:hint="eastAsia" w:ascii="仿宋_GB2312" w:eastAsia="仿宋_GB2312" w:cs="宋体"/>
          <w:sz w:val="24"/>
          <w:szCs w:val="24"/>
          <w:lang w:val="en-US" w:eastAsia="zh-CN"/>
        </w:rPr>
        <w:t>方</w:t>
      </w:r>
      <w:r>
        <w:rPr>
          <w:rFonts w:hint="default" w:ascii="仿宋_GB2312" w:eastAsia="仿宋_GB2312" w:cs="宋体"/>
          <w:sz w:val="24"/>
          <w:szCs w:val="24"/>
          <w:lang w:val="en-US" w:eastAsia="zh-CN"/>
        </w:rPr>
        <w:t>老师</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（二）联系电话：0553-3932052</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七、备注</w:t>
      </w:r>
    </w:p>
    <w:p>
      <w:pPr>
        <w:pStyle w:val="25"/>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eastAsia="zh-CN"/>
        </w:rPr>
      </w:pPr>
      <w:r>
        <w:rPr>
          <w:rFonts w:hint="default" w:ascii="仿宋_GB2312" w:eastAsia="仿宋_GB2312" w:cs="宋体"/>
          <w:sz w:val="24"/>
          <w:szCs w:val="24"/>
          <w:lang w:val="en-US" w:eastAsia="zh-CN"/>
        </w:rPr>
        <w:t>我校保留对报名合格单位进行进一步资格审核的权利。</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eastAsia" w:ascii="仿宋_GB2312" w:eastAsia="仿宋_GB2312" w:cs="宋体"/>
          <w:sz w:val="24"/>
          <w:szCs w:val="24"/>
          <w:lang w:val="en-US" w:eastAsia="zh-CN"/>
        </w:rPr>
        <w:t>八、温馨提示</w:t>
      </w:r>
    </w:p>
    <w:p>
      <w:pPr>
        <w:pStyle w:val="14"/>
        <w:ind w:left="0" w:leftChars="0" w:firstLine="560" w:firstLineChars="200"/>
        <w:rPr>
          <w:rFonts w:hint="eastAsia" w:ascii="仿宋_GB2312" w:hAnsi="仿宋_GB2312" w:eastAsia="仿宋_GB2312" w:cs="仿宋_GB2312"/>
          <w:i w:val="0"/>
          <w:iCs w:val="0"/>
          <w:caps w:val="0"/>
          <w:color w:val="333333"/>
          <w:spacing w:val="0"/>
          <w:sz w:val="28"/>
          <w:szCs w:val="28"/>
          <w:shd w:val="clear" w:fill="FFFFFF"/>
        </w:rPr>
      </w:pPr>
      <w:r>
        <w:rPr>
          <w:rFonts w:hint="eastAsia" w:ascii="仿宋_GB2312" w:hAnsi="仿宋_GB2312" w:eastAsia="仿宋_GB2312" w:cs="仿宋_GB2312"/>
          <w:i w:val="0"/>
          <w:iCs w:val="0"/>
          <w:caps w:val="0"/>
          <w:color w:val="333333"/>
          <w:spacing w:val="0"/>
          <w:sz w:val="28"/>
          <w:szCs w:val="28"/>
          <w:shd w:val="clear" w:fill="FFFFFF"/>
        </w:rPr>
        <w:t>因学校要求，校外人员进校需扫码登记。请各投标单位如实填写，并于2023年</w:t>
      </w:r>
      <w:r>
        <w:rPr>
          <w:rFonts w:hint="eastAsia" w:hAnsi="仿宋_GB2312" w:cs="仿宋_GB2312"/>
          <w:i w:val="0"/>
          <w:iCs w:val="0"/>
          <w:caps w:val="0"/>
          <w:color w:val="333333"/>
          <w:spacing w:val="0"/>
          <w:sz w:val="28"/>
          <w:szCs w:val="28"/>
          <w:shd w:val="clear" w:fill="FFFFFF"/>
          <w:lang w:val="en-US" w:eastAsia="zh-CN"/>
        </w:rPr>
        <w:t>7</w:t>
      </w:r>
      <w:r>
        <w:rPr>
          <w:rFonts w:hint="eastAsia" w:ascii="仿宋_GB2312" w:hAnsi="仿宋_GB2312" w:eastAsia="仿宋_GB2312" w:cs="仿宋_GB2312"/>
          <w:i w:val="0"/>
          <w:iCs w:val="0"/>
          <w:caps w:val="0"/>
          <w:color w:val="333333"/>
          <w:spacing w:val="0"/>
          <w:sz w:val="28"/>
          <w:szCs w:val="28"/>
          <w:shd w:val="clear" w:fill="FFFFFF"/>
        </w:rPr>
        <w:t>月</w:t>
      </w:r>
      <w:r>
        <w:rPr>
          <w:rFonts w:hint="eastAsia" w:hAnsi="仿宋_GB2312" w:cs="仿宋_GB2312"/>
          <w:i w:val="0"/>
          <w:iCs w:val="0"/>
          <w:caps w:val="0"/>
          <w:color w:val="333333"/>
          <w:spacing w:val="0"/>
          <w:sz w:val="28"/>
          <w:szCs w:val="28"/>
          <w:shd w:val="clear" w:fill="FFFFFF"/>
          <w:lang w:val="en-US" w:eastAsia="zh-CN"/>
        </w:rPr>
        <w:t>11</w:t>
      </w:r>
      <w:bookmarkStart w:id="154" w:name="_GoBack"/>
      <w:bookmarkEnd w:id="154"/>
      <w:r>
        <w:rPr>
          <w:rFonts w:hint="eastAsia" w:ascii="仿宋_GB2312" w:hAnsi="仿宋_GB2312" w:eastAsia="仿宋_GB2312" w:cs="仿宋_GB2312"/>
          <w:i w:val="0"/>
          <w:iCs w:val="0"/>
          <w:caps w:val="0"/>
          <w:color w:val="333333"/>
          <w:spacing w:val="0"/>
          <w:sz w:val="28"/>
          <w:szCs w:val="28"/>
          <w:shd w:val="clear" w:fill="FFFFFF"/>
        </w:rPr>
        <w:t>日12：00前完成登记申请（其中受访人姓名：王凌云，电话：13505596369），未按时提交申请的，后果自负。</w:t>
      </w:r>
    </w:p>
    <w:p>
      <w:pPr>
        <w:pStyle w:val="14"/>
        <w:ind w:left="0" w:leftChars="0" w:firstLine="560" w:firstLineChars="200"/>
      </w:pPr>
      <w:r>
        <w:rPr>
          <w:rFonts w:hint="eastAsia" w:ascii="仿宋_GB2312" w:hAnsi="仿宋_GB2312" w:eastAsia="仿宋_GB2312" w:cs="仿宋_GB2312"/>
          <w:i w:val="0"/>
          <w:iCs w:val="0"/>
          <w:caps w:val="0"/>
          <w:color w:val="333333"/>
          <w:spacing w:val="0"/>
          <w:sz w:val="28"/>
          <w:szCs w:val="28"/>
          <w:shd w:val="clear" w:fill="FFFFFF"/>
        </w:rPr>
        <w:t> </w:t>
      </w:r>
      <w:r>
        <w:drawing>
          <wp:inline distT="0" distB="0" distL="114300" distR="114300">
            <wp:extent cx="1781175" cy="1914525"/>
            <wp:effectExtent l="0" t="0" r="9525" b="952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6"/>
                    <a:stretch>
                      <a:fillRect/>
                    </a:stretch>
                  </pic:blipFill>
                  <pic:spPr>
                    <a:xfrm>
                      <a:off x="0" y="0"/>
                      <a:ext cx="1781175" cy="1914525"/>
                    </a:xfrm>
                    <a:prstGeom prst="rect">
                      <a:avLst/>
                    </a:prstGeom>
                    <a:noFill/>
                    <a:ln>
                      <a:noFill/>
                    </a:ln>
                  </pic:spPr>
                </pic:pic>
              </a:graphicData>
            </a:graphic>
          </wp:inline>
        </w:drawing>
      </w:r>
      <w:r>
        <w:rPr>
          <w:rFonts w:hint="eastAsia" w:ascii="仿宋_GB2312" w:hAnsi="仿宋_GB2312" w:eastAsia="仿宋_GB2312" w:cs="仿宋_GB2312"/>
          <w:i w:val="0"/>
          <w:iCs w:val="0"/>
          <w:caps w:val="0"/>
          <w:color w:val="333333"/>
          <w:spacing w:val="0"/>
          <w:sz w:val="28"/>
          <w:szCs w:val="28"/>
          <w:shd w:val="clear" w:fill="FFFFFF"/>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eastAsia" w:ascii="仿宋_GB2312" w:eastAsia="仿宋_GB2312" w:cs="宋体"/>
          <w:sz w:val="24"/>
          <w:szCs w:val="24"/>
          <w:lang w:val="en-US" w:eastAsia="zh-CN"/>
        </w:rPr>
        <w:t> 。</w:t>
      </w:r>
      <w:r>
        <w:rPr>
          <w:rFonts w:hint="default" w:ascii="仿宋_GB2312" w:eastAsia="仿宋_GB2312" w:cs="宋体"/>
          <w:sz w:val="24"/>
          <w:szCs w:val="24"/>
          <w:lang w:val="en-US" w:eastAsia="zh-CN"/>
        </w:rPr>
        <w:t> </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 </w:t>
      </w:r>
    </w:p>
    <w:p>
      <w:pPr>
        <w:pStyle w:val="25"/>
        <w:adjustRightInd w:val="0"/>
        <w:snapToGrid w:val="0"/>
        <w:spacing w:before="0" w:beforeAutospacing="0" w:after="0" w:afterAutospacing="0" w:line="360" w:lineRule="auto"/>
        <w:ind w:firstLine="480" w:firstLineChars="200"/>
        <w:jc w:val="right"/>
        <w:rPr>
          <w:rFonts w:hint="eastAsia" w:ascii="仿宋_GB2312" w:eastAsia="仿宋_GB2312" w:cs="宋体"/>
          <w:sz w:val="24"/>
          <w:szCs w:val="24"/>
          <w:lang w:val="zh-CN"/>
        </w:rPr>
      </w:pPr>
      <w:r>
        <w:rPr>
          <w:rFonts w:hint="default" w:ascii="仿宋_GB2312" w:eastAsia="仿宋_GB2312" w:cs="宋体"/>
          <w:sz w:val="24"/>
          <w:szCs w:val="24"/>
          <w:lang w:val="en-US" w:eastAsia="zh-CN"/>
        </w:rPr>
        <w:t>皖南医学院国有资产管理处</w:t>
      </w:r>
    </w:p>
    <w:p>
      <w:pPr>
        <w:pStyle w:val="25"/>
        <w:adjustRightInd w:val="0"/>
        <w:snapToGrid w:val="0"/>
        <w:spacing w:before="0" w:beforeAutospacing="0" w:after="0" w:afterAutospacing="0" w:line="360" w:lineRule="auto"/>
        <w:ind w:firstLine="480" w:firstLineChars="200"/>
        <w:jc w:val="right"/>
        <w:rPr>
          <w:rFonts w:hint="eastAsia" w:ascii="微软雅黑" w:hAnsi="微软雅黑" w:eastAsia="微软雅黑" w:cs="微软雅黑"/>
          <w:i w:val="0"/>
          <w:iCs w:val="0"/>
          <w:caps w:val="0"/>
          <w:color w:val="333333"/>
          <w:spacing w:val="0"/>
          <w:sz w:val="21"/>
          <w:szCs w:val="21"/>
          <w:highlight w:val="none"/>
        </w:rPr>
      </w:pPr>
      <w:r>
        <w:rPr>
          <w:rFonts w:hint="default" w:ascii="仿宋_GB2312" w:eastAsia="仿宋_GB2312" w:cs="宋体"/>
          <w:sz w:val="24"/>
          <w:szCs w:val="24"/>
          <w:highlight w:val="none"/>
          <w:lang w:val="en-US" w:eastAsia="zh-CN"/>
        </w:rPr>
        <w:t>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6</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26</w:t>
      </w:r>
      <w:r>
        <w:rPr>
          <w:rFonts w:hint="default" w:ascii="仿宋_GB2312" w:eastAsia="仿宋_GB2312" w:cs="宋体"/>
          <w:sz w:val="24"/>
          <w:szCs w:val="24"/>
          <w:highlight w:val="none"/>
          <w:lang w:val="en-US" w:eastAsia="zh-CN"/>
        </w:rPr>
        <w:t>日</w:t>
      </w:r>
    </w:p>
    <w:p>
      <w:pPr>
        <w:jc w:val="right"/>
        <w:rPr>
          <w:rFonts w:ascii="仿宋_GB2312" w:eastAsia="仿宋_GB2312"/>
          <w:sz w:val="24"/>
          <w:szCs w:val="24"/>
        </w:rPr>
      </w:pPr>
    </w:p>
    <w:p>
      <w:pPr>
        <w:pStyle w:val="3"/>
        <w:snapToGrid w:val="0"/>
        <w:spacing w:before="0" w:after="0"/>
        <w:ind w:left="0" w:leftChars="0" w:firstLine="2162" w:firstLineChars="600"/>
        <w:jc w:val="both"/>
        <w:rPr>
          <w:rFonts w:ascii="华文中宋" w:hAnsi="华文中宋" w:eastAsia="华文中宋"/>
          <w:color w:val="auto"/>
        </w:rPr>
      </w:pPr>
      <w:bookmarkStart w:id="1" w:name="_Toc49763000"/>
      <w:r>
        <w:rPr>
          <w:rFonts w:hint="eastAsia" w:ascii="华文中宋" w:hAnsi="华文中宋" w:eastAsia="华文中宋"/>
          <w:color w:val="auto"/>
        </w:rPr>
        <w:br w:type="page"/>
      </w:r>
      <w:r>
        <w:rPr>
          <w:rFonts w:hint="eastAsia" w:asciiTheme="majorEastAsia" w:hAnsiTheme="majorEastAsia" w:eastAsiaTheme="majorEastAsia" w:cstheme="majorEastAsia"/>
          <w:color w:val="auto"/>
        </w:rPr>
        <w:t>第二章  磋商须知前附表</w:t>
      </w:r>
      <w:bookmarkEnd w:id="1"/>
    </w:p>
    <w:tbl>
      <w:tblPr>
        <w:tblStyle w:val="28"/>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249"/>
        <w:gridCol w:w="586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b/>
                <w:kern w:val="0"/>
                <w:sz w:val="21"/>
                <w:szCs w:val="21"/>
              </w:rPr>
            </w:pPr>
            <w:r>
              <w:rPr>
                <w:rFonts w:hint="eastAsia" w:ascii="宋体" w:hAnsi="宋体" w:cs="宋体"/>
                <w:b/>
                <w:kern w:val="0"/>
                <w:sz w:val="21"/>
                <w:szCs w:val="21"/>
              </w:rPr>
              <w:t>条款号</w:t>
            </w:r>
          </w:p>
        </w:tc>
        <w:tc>
          <w:tcPr>
            <w:tcW w:w="2249"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条款名称</w:t>
            </w:r>
          </w:p>
        </w:tc>
        <w:tc>
          <w:tcPr>
            <w:tcW w:w="5866"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项目名称</w:t>
            </w:r>
          </w:p>
        </w:tc>
        <w:tc>
          <w:tcPr>
            <w:tcW w:w="5866" w:type="dxa"/>
            <w:noWrap w:val="0"/>
            <w:vAlign w:val="center"/>
          </w:tcPr>
          <w:p>
            <w:pPr>
              <w:snapToGrid w:val="0"/>
              <w:jc w:val="left"/>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2023年度学生宿舍出新工程项目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采购人</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招标人名称：</w:t>
            </w:r>
            <w:r>
              <w:rPr>
                <w:rFonts w:hint="eastAsia" w:ascii="宋体" w:hAnsi="宋体" w:cs="宋体"/>
                <w:sz w:val="21"/>
                <w:szCs w:val="21"/>
              </w:rPr>
              <w:t>皖南医学院</w:t>
            </w:r>
          </w:p>
          <w:p>
            <w:pPr>
              <w:jc w:val="left"/>
              <w:rPr>
                <w:rFonts w:hint="eastAsia" w:ascii="宋体" w:hAnsi="宋体" w:cs="宋体"/>
                <w:kern w:val="0"/>
                <w:sz w:val="21"/>
                <w:szCs w:val="21"/>
              </w:rPr>
            </w:pPr>
            <w:r>
              <w:rPr>
                <w:rFonts w:hint="eastAsia" w:ascii="宋体" w:hAnsi="宋体" w:cs="宋体"/>
                <w:kern w:val="0"/>
                <w:sz w:val="21"/>
                <w:szCs w:val="21"/>
              </w:rPr>
              <w:t>联系人：</w:t>
            </w:r>
            <w:r>
              <w:rPr>
                <w:rFonts w:hint="eastAsia" w:ascii="宋体" w:hAnsi="宋体" w:cs="宋体"/>
                <w:kern w:val="0"/>
                <w:sz w:val="21"/>
                <w:szCs w:val="21"/>
                <w:lang w:val="en-US" w:eastAsia="zh-CN"/>
              </w:rPr>
              <w:t>方</w:t>
            </w:r>
            <w:r>
              <w:rPr>
                <w:rFonts w:hint="eastAsia" w:ascii="宋体" w:hAnsi="宋体" w:cs="宋体"/>
                <w:kern w:val="0"/>
                <w:sz w:val="21"/>
                <w:szCs w:val="21"/>
              </w:rPr>
              <w:t xml:space="preserve">老师   </w:t>
            </w:r>
            <w:r>
              <w:rPr>
                <w:rFonts w:hint="eastAsia" w:ascii="宋体" w:hAnsi="宋体" w:cs="宋体"/>
                <w:b/>
                <w:kern w:val="0"/>
                <w:sz w:val="21"/>
                <w:szCs w:val="21"/>
              </w:rPr>
              <w:t xml:space="preserve"> </w:t>
            </w:r>
            <w:r>
              <w:rPr>
                <w:rFonts w:hint="eastAsia" w:ascii="宋体" w:hAnsi="宋体" w:cs="宋体"/>
                <w:kern w:val="0"/>
                <w:sz w:val="21"/>
                <w:szCs w:val="21"/>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2.3</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招标范围</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2.4</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项目工期要求</w:t>
            </w:r>
          </w:p>
        </w:tc>
        <w:tc>
          <w:tcPr>
            <w:tcW w:w="5866" w:type="dxa"/>
            <w:noWrap w:val="0"/>
            <w:vAlign w:val="center"/>
          </w:tcPr>
          <w:p>
            <w:pPr>
              <w:widowControl/>
              <w:snapToGrid w:val="0"/>
              <w:jc w:val="left"/>
              <w:rPr>
                <w:rFonts w:hint="eastAsia" w:ascii="宋体" w:hAnsi="宋体" w:cs="宋体"/>
                <w:kern w:val="0"/>
                <w:sz w:val="21"/>
                <w:szCs w:val="21"/>
              </w:rPr>
            </w:pPr>
            <w:r>
              <w:rPr>
                <w:rFonts w:hint="eastAsia" w:ascii="宋体" w:hAnsi="宋体" w:cs="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2.5</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投标人资质条件、能力和信誉</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现场踏勘</w:t>
            </w:r>
          </w:p>
        </w:tc>
        <w:tc>
          <w:tcPr>
            <w:tcW w:w="5866" w:type="dxa"/>
            <w:noWrap w:val="0"/>
            <w:vAlign w:val="center"/>
          </w:tcPr>
          <w:p>
            <w:pPr>
              <w:pStyle w:val="27"/>
              <w:ind w:left="0" w:leftChars="0" w:firstLine="0" w:firstLineChars="0"/>
              <w:rPr>
                <w:rFonts w:hint="default"/>
                <w:lang w:val="en-US" w:eastAsia="zh-CN"/>
              </w:rPr>
            </w:pPr>
            <w:r>
              <w:rPr>
                <w:rFonts w:hint="eastAsia"/>
                <w:b/>
                <w:bCs/>
                <w:sz w:val="21"/>
                <w:szCs w:val="21"/>
                <w:lang w:val="en-US" w:eastAsia="zh-CN"/>
              </w:rPr>
              <w:t>踏勘联系人：张老师 ；自主踏勘。踏勘联系方式：0553-3932657</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分包</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2.8</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w:t>
            </w:r>
          </w:p>
        </w:tc>
        <w:tc>
          <w:tcPr>
            <w:tcW w:w="5866" w:type="dxa"/>
            <w:noWrap w:val="0"/>
            <w:vAlign w:val="center"/>
          </w:tcPr>
          <w:p>
            <w:pPr>
              <w:jc w:val="left"/>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2.9</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磋商保证金的退付</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2.10</w:t>
            </w:r>
          </w:p>
        </w:tc>
        <w:tc>
          <w:tcPr>
            <w:tcW w:w="2249"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是否允许递交备选投标方案</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2.11</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签字或盖章要求</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投标文件份数</w:t>
            </w:r>
          </w:p>
        </w:tc>
        <w:tc>
          <w:tcPr>
            <w:tcW w:w="5866" w:type="dxa"/>
            <w:noWrap w:val="0"/>
            <w:vAlign w:val="center"/>
          </w:tcPr>
          <w:p>
            <w:pPr>
              <w:jc w:val="left"/>
              <w:rPr>
                <w:rFonts w:hint="eastAsia" w:ascii="宋体" w:hAnsi="宋体" w:cs="宋体"/>
                <w:sz w:val="21"/>
                <w:szCs w:val="21"/>
              </w:rPr>
            </w:pPr>
            <w:r>
              <w:rPr>
                <w:rFonts w:hint="eastAsia" w:ascii="宋体" w:hAnsi="宋体" w:cs="宋体"/>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2.13</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递交响应文件时间、地点</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2.14</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递交响应文件截止和开标时间、地点、开标条件</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投标截止和开标时间、地点：详见磋商公告</w:t>
            </w:r>
          </w:p>
          <w:p>
            <w:pPr>
              <w:jc w:val="left"/>
              <w:rPr>
                <w:rFonts w:hint="eastAsia" w:ascii="宋体" w:hAnsi="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2.15</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合同履约担保</w:t>
            </w:r>
          </w:p>
        </w:tc>
        <w:tc>
          <w:tcPr>
            <w:tcW w:w="5866" w:type="dxa"/>
            <w:noWrap w:val="0"/>
            <w:vAlign w:val="center"/>
          </w:tcPr>
          <w:p>
            <w:pPr>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rPr>
              <w:t>履约担保的金额：</w:t>
            </w:r>
            <w:r>
              <w:rPr>
                <w:rFonts w:hint="eastAsia" w:ascii="宋体" w:hAnsi="宋体" w:cs="宋体"/>
                <w:kern w:val="0"/>
                <w:sz w:val="21"/>
                <w:szCs w:val="21"/>
                <w:lang w:val="en-US" w:eastAsia="zh-CN"/>
              </w:rPr>
              <w:t>12000元</w:t>
            </w:r>
          </w:p>
          <w:p>
            <w:pPr>
              <w:jc w:val="left"/>
              <w:rPr>
                <w:rFonts w:hint="eastAsia" w:ascii="宋体" w:hAnsi="宋体" w:cs="宋体"/>
                <w:kern w:val="0"/>
                <w:sz w:val="21"/>
                <w:szCs w:val="21"/>
              </w:rPr>
            </w:pPr>
            <w:r>
              <w:rPr>
                <w:rFonts w:hint="eastAsia" w:ascii="宋体" w:hAnsi="宋体" w:cs="宋体"/>
                <w:kern w:val="0"/>
                <w:sz w:val="21"/>
                <w:szCs w:val="21"/>
              </w:rPr>
              <w:t>开 户 名：</w:t>
            </w:r>
            <w:r>
              <w:rPr>
                <w:rFonts w:hint="eastAsia" w:ascii="宋体" w:hAnsi="宋体" w:cs="宋体"/>
                <w:b/>
                <w:kern w:val="0"/>
                <w:sz w:val="21"/>
                <w:szCs w:val="21"/>
              </w:rPr>
              <w:t>皖南医学院</w:t>
            </w:r>
          </w:p>
          <w:p>
            <w:pPr>
              <w:jc w:val="left"/>
              <w:rPr>
                <w:rFonts w:hint="eastAsia" w:ascii="宋体" w:hAnsi="宋体" w:cs="宋体"/>
                <w:b/>
                <w:kern w:val="0"/>
                <w:sz w:val="21"/>
                <w:szCs w:val="21"/>
              </w:rPr>
            </w:pPr>
            <w:r>
              <w:rPr>
                <w:rFonts w:hint="eastAsia" w:ascii="宋体" w:hAnsi="宋体" w:cs="宋体"/>
                <w:kern w:val="0"/>
                <w:sz w:val="21"/>
                <w:szCs w:val="21"/>
              </w:rPr>
              <w:t>开户银行：</w:t>
            </w:r>
            <w:r>
              <w:rPr>
                <w:rFonts w:hint="eastAsia" w:ascii="宋体" w:hAnsi="宋体" w:cs="宋体"/>
                <w:b/>
                <w:sz w:val="21"/>
                <w:szCs w:val="21"/>
              </w:rPr>
              <w:t>安徽省芜湖市建行中山路支行</w:t>
            </w:r>
          </w:p>
          <w:p>
            <w:pPr>
              <w:pStyle w:val="27"/>
              <w:ind w:left="0" w:leftChars="0" w:firstLine="0" w:firstLineChars="0"/>
              <w:rPr>
                <w:rFonts w:hint="eastAsia"/>
              </w:rPr>
            </w:pPr>
            <w:r>
              <w:rPr>
                <w:rFonts w:hint="eastAsia" w:ascii="宋体" w:hAnsi="宋体" w:cs="宋体"/>
                <w:kern w:val="0"/>
                <w:sz w:val="21"/>
                <w:szCs w:val="21"/>
              </w:rPr>
              <w:t>帐　　号：</w:t>
            </w:r>
            <w:r>
              <w:rPr>
                <w:rFonts w:hint="eastAsia" w:ascii="宋体" w:hAnsi="宋体" w:cs="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履约保证金交纳及退付</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中标后在中标公示结束后3日内</w:t>
            </w:r>
            <w:r>
              <w:rPr>
                <w:rFonts w:hint="eastAsia" w:ascii="宋体" w:hAnsi="宋体" w:cs="宋体"/>
                <w:kern w:val="0"/>
                <w:sz w:val="21"/>
                <w:szCs w:val="21"/>
                <w:lang w:val="en-US" w:eastAsia="zh-CN"/>
              </w:rPr>
              <w:t>缴纳</w:t>
            </w:r>
            <w:r>
              <w:rPr>
                <w:rFonts w:hint="eastAsia" w:ascii="宋体" w:hAnsi="宋体" w:cs="宋体"/>
                <w:kern w:val="0"/>
                <w:sz w:val="21"/>
                <w:szCs w:val="21"/>
              </w:rPr>
              <w:t>，中标人须提供书面材料确认。</w:t>
            </w:r>
          </w:p>
          <w:p>
            <w:pPr>
              <w:jc w:val="left"/>
              <w:rPr>
                <w:rFonts w:hint="eastAsia" w:ascii="宋体" w:hAnsi="宋体" w:cs="宋体"/>
                <w:kern w:val="0"/>
                <w:sz w:val="21"/>
                <w:szCs w:val="21"/>
              </w:rPr>
            </w:pPr>
            <w:r>
              <w:rPr>
                <w:rFonts w:hint="eastAsia" w:ascii="宋体" w:hAnsi="宋体" w:cs="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磋商有效期</w:t>
            </w:r>
          </w:p>
        </w:tc>
        <w:tc>
          <w:tcPr>
            <w:tcW w:w="5866" w:type="dxa"/>
            <w:noWrap w:val="0"/>
            <w:vAlign w:val="center"/>
          </w:tcPr>
          <w:p>
            <w:pPr>
              <w:spacing w:line="360" w:lineRule="exact"/>
              <w:jc w:val="left"/>
              <w:rPr>
                <w:rFonts w:hint="eastAsia" w:ascii="宋体" w:hAnsi="宋体" w:cs="宋体"/>
                <w:kern w:val="0"/>
                <w:sz w:val="21"/>
                <w:szCs w:val="21"/>
              </w:rPr>
            </w:pPr>
            <w:r>
              <w:rPr>
                <w:rFonts w:hint="eastAsia" w:ascii="宋体" w:hAnsi="宋体" w:cs="宋体"/>
                <w:kern w:val="0"/>
                <w:sz w:val="21"/>
                <w:szCs w:val="21"/>
              </w:rPr>
              <w:t>自磋商之日起30天内。</w:t>
            </w:r>
          </w:p>
        </w:tc>
      </w:tr>
    </w:tbl>
    <w:p>
      <w:pPr>
        <w:jc w:val="center"/>
        <w:rPr>
          <w:rFonts w:ascii="华文中宋" w:hAnsi="华文中宋" w:eastAsia="华文中宋"/>
          <w:b/>
          <w:bCs/>
          <w:sz w:val="36"/>
          <w:szCs w:val="36"/>
        </w:rPr>
      </w:pPr>
      <w:bookmarkStart w:id="2" w:name="_Toc49763001"/>
      <w:r>
        <w:rPr>
          <w:rFonts w:hint="eastAsia" w:ascii="宋体" w:hAnsi="宋体" w:cs="宋体"/>
          <w:sz w:val="24"/>
          <w:szCs w:val="24"/>
        </w:rPr>
        <w:br w:type="page"/>
      </w:r>
      <w:r>
        <w:rPr>
          <w:rFonts w:hint="eastAsia" w:asciiTheme="majorEastAsia" w:hAnsiTheme="majorEastAsia" w:eastAsiaTheme="majorEastAsia" w:cstheme="majorEastAsia"/>
          <w:b/>
          <w:bCs/>
          <w:sz w:val="36"/>
          <w:szCs w:val="36"/>
        </w:rPr>
        <w:t>第三章  磋商须知</w:t>
      </w:r>
      <w:bookmarkEnd w:id="2"/>
    </w:p>
    <w:p>
      <w:pPr>
        <w:adjustRightInd w:val="0"/>
        <w:snapToGrid w:val="0"/>
        <w:spacing w:line="360" w:lineRule="auto"/>
        <w:ind w:firstLine="480" w:firstLineChars="200"/>
        <w:rPr>
          <w:rFonts w:hint="eastAsia" w:ascii="宋体" w:hAnsi="宋体" w:cs="宋体"/>
          <w:sz w:val="24"/>
          <w:szCs w:val="24"/>
        </w:rPr>
      </w:pPr>
      <w:bookmarkStart w:id="3" w:name="_Toc20823275"/>
      <w:bookmarkStart w:id="4" w:name="_Toc16938519"/>
      <w:bookmarkStart w:id="5" w:name="_Toc513029203"/>
      <w:bookmarkStart w:id="6" w:name="_Toc120614214"/>
      <w:bookmarkStart w:id="7" w:name="_Toc403987205"/>
      <w:r>
        <w:rPr>
          <w:rFonts w:hint="eastAsia" w:ascii="宋体" w:hAnsi="宋体" w:cs="宋体"/>
          <w:sz w:val="24"/>
          <w:szCs w:val="24"/>
        </w:rPr>
        <w:t>一、总则</w:t>
      </w:r>
      <w:bookmarkEnd w:id="3"/>
      <w:bookmarkEnd w:id="4"/>
      <w:bookmarkEnd w:id="5"/>
      <w:bookmarkEnd w:id="6"/>
      <w:bookmarkEnd w:id="7"/>
    </w:p>
    <w:p>
      <w:pPr>
        <w:adjustRightInd w:val="0"/>
        <w:snapToGrid w:val="0"/>
        <w:spacing w:line="360" w:lineRule="auto"/>
        <w:ind w:firstLine="480" w:firstLineChars="200"/>
        <w:rPr>
          <w:rFonts w:hint="eastAsia" w:ascii="宋体" w:hAnsi="宋体" w:cs="宋体"/>
          <w:sz w:val="24"/>
          <w:szCs w:val="24"/>
        </w:rPr>
      </w:pPr>
      <w:bookmarkStart w:id="8" w:name="_Hlt16619475"/>
      <w:bookmarkEnd w:id="8"/>
      <w:bookmarkStart w:id="9" w:name="_Toc20823276"/>
      <w:bookmarkStart w:id="10" w:name="_Toc16938520"/>
      <w:bookmarkStart w:id="11" w:name="_Toc513029204"/>
      <w:r>
        <w:rPr>
          <w:rFonts w:hint="eastAsia" w:ascii="宋体" w:hAnsi="宋体" w:cs="宋体"/>
          <w:sz w:val="24"/>
          <w:szCs w:val="24"/>
        </w:rPr>
        <w:t>（一）采购方式</w:t>
      </w:r>
      <w:bookmarkEnd w:id="9"/>
      <w:bookmarkEnd w:id="10"/>
      <w:bookmarkEnd w:id="11"/>
      <w:r>
        <w:rPr>
          <w:rFonts w:hint="eastAsia" w:ascii="宋体" w:hAnsi="宋体" w:cs="宋体"/>
          <w:sz w:val="24"/>
          <w:szCs w:val="24"/>
        </w:rPr>
        <w:t>及定义</w:t>
      </w:r>
    </w:p>
    <w:p>
      <w:pPr>
        <w:pStyle w:val="40"/>
        <w:snapToGrid w:val="0"/>
        <w:rPr>
          <w:rFonts w:hint="eastAsia" w:hAnsi="宋体" w:eastAsia="宋体"/>
          <w:sz w:val="24"/>
          <w:szCs w:val="24"/>
        </w:rPr>
      </w:pPr>
      <w:r>
        <w:rPr>
          <w:rFonts w:hint="eastAsia" w:hAnsi="宋体" w:eastAsia="宋体"/>
          <w:sz w:val="24"/>
          <w:szCs w:val="24"/>
        </w:rPr>
        <w:t>1.本次采购采用磋商方式，本磋商文件仅适用于磋商公告中所述项目。</w:t>
      </w:r>
    </w:p>
    <w:p>
      <w:pPr>
        <w:pStyle w:val="40"/>
        <w:snapToGrid w:val="0"/>
        <w:rPr>
          <w:rFonts w:hint="eastAsia" w:hAnsi="宋体" w:eastAsia="宋体"/>
          <w:sz w:val="24"/>
          <w:szCs w:val="24"/>
        </w:rPr>
      </w:pPr>
      <w:r>
        <w:rPr>
          <w:rFonts w:hint="eastAsia" w:hAnsi="宋体" w:eastAsia="宋体"/>
          <w:sz w:val="24"/>
          <w:szCs w:val="24"/>
        </w:rPr>
        <w:t>2采购人指本项目的需求方皖南医学院。</w:t>
      </w:r>
    </w:p>
    <w:p>
      <w:pPr>
        <w:adjustRightInd w:val="0"/>
        <w:snapToGrid w:val="0"/>
        <w:spacing w:line="360" w:lineRule="auto"/>
        <w:ind w:firstLine="480" w:firstLineChars="200"/>
        <w:rPr>
          <w:rFonts w:hint="eastAsia" w:ascii="宋体" w:hAnsi="宋体" w:cs="宋体"/>
          <w:sz w:val="24"/>
          <w:szCs w:val="24"/>
        </w:rPr>
      </w:pPr>
      <w:bookmarkStart w:id="12" w:name="_Toc20823277"/>
      <w:bookmarkStart w:id="13" w:name="_Toc513029205"/>
      <w:bookmarkStart w:id="14" w:name="_Toc16938521"/>
      <w:r>
        <w:rPr>
          <w:rFonts w:hint="eastAsia" w:ascii="宋体" w:hAnsi="宋体" w:cs="宋体"/>
          <w:sz w:val="24"/>
          <w:szCs w:val="24"/>
        </w:rPr>
        <w:t>3.合格的供应商</w:t>
      </w:r>
      <w:bookmarkEnd w:id="12"/>
      <w:bookmarkEnd w:id="13"/>
      <w:bookmarkEnd w:id="14"/>
      <w:r>
        <w:rPr>
          <w:rFonts w:hint="eastAsia" w:ascii="宋体" w:hAnsi="宋体" w:cs="宋体"/>
          <w:sz w:val="24"/>
          <w:szCs w:val="24"/>
        </w:rPr>
        <w:tab/>
      </w:r>
    </w:p>
    <w:p>
      <w:pPr>
        <w:pStyle w:val="40"/>
        <w:snapToGrid w:val="0"/>
        <w:ind w:left="560" w:firstLine="0" w:firstLineChars="0"/>
        <w:rPr>
          <w:rFonts w:hint="eastAsia" w:hAnsi="宋体" w:eastAsia="宋体"/>
          <w:sz w:val="24"/>
          <w:szCs w:val="24"/>
        </w:rPr>
      </w:pPr>
      <w:r>
        <w:rPr>
          <w:rFonts w:hint="eastAsia" w:hAnsi="宋体" w:eastAsia="宋体"/>
          <w:sz w:val="24"/>
          <w:szCs w:val="24"/>
        </w:rPr>
        <w:t>（1）满足磋商公告中供应商的资格条件的规定。</w:t>
      </w:r>
    </w:p>
    <w:p>
      <w:pPr>
        <w:pStyle w:val="40"/>
        <w:snapToGrid w:val="0"/>
        <w:rPr>
          <w:rFonts w:hint="eastAsia" w:hAnsi="宋体" w:eastAsia="宋体"/>
          <w:sz w:val="24"/>
          <w:szCs w:val="24"/>
        </w:rPr>
      </w:pPr>
      <w:r>
        <w:rPr>
          <w:rFonts w:hint="eastAsia" w:hAnsi="宋体" w:eastAsia="宋体"/>
          <w:sz w:val="24"/>
          <w:szCs w:val="24"/>
        </w:rPr>
        <w:t>（2）满足本文件实质性条款的规定。</w:t>
      </w:r>
    </w:p>
    <w:p>
      <w:pPr>
        <w:adjustRightInd w:val="0"/>
        <w:snapToGrid w:val="0"/>
        <w:spacing w:line="360" w:lineRule="auto"/>
        <w:ind w:firstLine="480" w:firstLineChars="200"/>
        <w:rPr>
          <w:rFonts w:hint="eastAsia" w:ascii="宋体" w:hAnsi="宋体" w:cs="宋体"/>
          <w:sz w:val="24"/>
          <w:szCs w:val="24"/>
        </w:rPr>
      </w:pPr>
      <w:bookmarkStart w:id="15" w:name="_Toc513029206"/>
      <w:bookmarkStart w:id="16" w:name="_Toc20823278"/>
      <w:bookmarkStart w:id="17" w:name="_Toc16938522"/>
      <w:r>
        <w:rPr>
          <w:rFonts w:hint="eastAsia" w:ascii="宋体" w:hAnsi="宋体" w:cs="宋体"/>
          <w:sz w:val="24"/>
          <w:szCs w:val="24"/>
        </w:rPr>
        <w:t>4.适用法律</w:t>
      </w:r>
      <w:bookmarkEnd w:id="15"/>
      <w:bookmarkEnd w:id="16"/>
      <w:bookmarkEnd w:id="17"/>
    </w:p>
    <w:p>
      <w:pPr>
        <w:pStyle w:val="40"/>
        <w:snapToGrid w:val="0"/>
        <w:rPr>
          <w:rFonts w:hint="eastAsia" w:hAnsi="宋体" w:eastAsia="宋体"/>
          <w:sz w:val="24"/>
          <w:szCs w:val="24"/>
        </w:rPr>
      </w:pPr>
      <w:r>
        <w:rPr>
          <w:rFonts w:hint="eastAsia" w:hAnsi="宋体" w:eastAsia="宋体"/>
          <w:sz w:val="24"/>
          <w:szCs w:val="24"/>
        </w:rPr>
        <w:t>本次磋商及由此产生的合同受中华人民共和国有关的法律法规制约和保护。</w:t>
      </w:r>
    </w:p>
    <w:p>
      <w:pPr>
        <w:adjustRightInd w:val="0"/>
        <w:snapToGrid w:val="0"/>
        <w:spacing w:line="360" w:lineRule="auto"/>
        <w:ind w:firstLine="480" w:firstLineChars="200"/>
        <w:rPr>
          <w:rFonts w:hint="eastAsia" w:ascii="宋体" w:hAnsi="宋体" w:cs="宋体"/>
          <w:sz w:val="24"/>
          <w:szCs w:val="24"/>
        </w:rPr>
      </w:pPr>
      <w:bookmarkStart w:id="18" w:name="_Toc20823279"/>
      <w:bookmarkStart w:id="19" w:name="_Toc16938523"/>
      <w:bookmarkStart w:id="20" w:name="_Toc462564067"/>
      <w:bookmarkStart w:id="21" w:name="_Toc513029207"/>
      <w:r>
        <w:rPr>
          <w:rFonts w:hint="eastAsia" w:ascii="宋体" w:hAnsi="宋体" w:cs="宋体"/>
          <w:sz w:val="24"/>
          <w:szCs w:val="24"/>
        </w:rPr>
        <w:t>5.磋商费用</w:t>
      </w:r>
      <w:bookmarkEnd w:id="18"/>
      <w:bookmarkEnd w:id="19"/>
      <w:bookmarkEnd w:id="20"/>
      <w:bookmarkEnd w:id="21"/>
    </w:p>
    <w:p>
      <w:pPr>
        <w:pStyle w:val="40"/>
        <w:snapToGrid w:val="0"/>
        <w:rPr>
          <w:rFonts w:hint="eastAsia" w:hAnsi="宋体" w:eastAsia="宋体"/>
          <w:sz w:val="24"/>
          <w:szCs w:val="24"/>
        </w:rPr>
      </w:pPr>
      <w:r>
        <w:rPr>
          <w:rFonts w:hint="eastAsia" w:hAnsi="宋体" w:eastAsia="宋体"/>
          <w:sz w:val="24"/>
          <w:szCs w:val="24"/>
        </w:rPr>
        <w:t>（1）供应商应自行承担所有与参加磋商有关的费用，无论磋商过程中的做法和结果如何，采购人在任何情况下均无义务和责任承担这些费用。</w:t>
      </w:r>
    </w:p>
    <w:p>
      <w:pPr>
        <w:pStyle w:val="40"/>
        <w:snapToGrid w:val="0"/>
        <w:rPr>
          <w:rFonts w:hint="eastAsia" w:hAnsi="宋体" w:eastAsia="宋体"/>
          <w:sz w:val="24"/>
          <w:szCs w:val="24"/>
        </w:rPr>
      </w:pPr>
      <w:r>
        <w:rPr>
          <w:rFonts w:hint="eastAsia" w:hAnsi="宋体" w:eastAsia="宋体"/>
          <w:sz w:val="24"/>
          <w:szCs w:val="24"/>
        </w:rPr>
        <w:t>（2）本次磋商采购人不收取文件工本费与成交服务费。</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6.磋商文件的约束力</w:t>
      </w:r>
    </w:p>
    <w:p>
      <w:pPr>
        <w:pStyle w:val="40"/>
        <w:snapToGrid w:val="0"/>
        <w:rPr>
          <w:rFonts w:hint="eastAsia" w:hAnsi="宋体" w:eastAsia="宋体"/>
          <w:sz w:val="24"/>
          <w:szCs w:val="24"/>
        </w:rPr>
      </w:pPr>
      <w:r>
        <w:rPr>
          <w:rFonts w:hint="eastAsia" w:hAnsi="宋体" w:eastAsia="宋体"/>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hint="eastAsia" w:ascii="宋体" w:hAnsi="宋体" w:cs="宋体"/>
          <w:sz w:val="24"/>
          <w:szCs w:val="24"/>
        </w:rPr>
      </w:pPr>
      <w:bookmarkStart w:id="22" w:name="_Toc403987206"/>
      <w:bookmarkStart w:id="23" w:name="_Toc120614215"/>
      <w:bookmarkStart w:id="24" w:name="_Toc20823281"/>
      <w:bookmarkStart w:id="25" w:name="_Toc16938525"/>
      <w:bookmarkStart w:id="26" w:name="_Toc513029209"/>
      <w:r>
        <w:rPr>
          <w:rFonts w:hint="eastAsia" w:ascii="宋体" w:hAnsi="宋体" w:cs="宋体"/>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hint="eastAsia" w:ascii="宋体" w:hAnsi="宋体" w:cs="宋体"/>
          <w:sz w:val="24"/>
          <w:szCs w:val="24"/>
        </w:rPr>
      </w:pPr>
      <w:bookmarkStart w:id="27" w:name="_Toc16938526"/>
      <w:bookmarkStart w:id="28" w:name="_Toc513029210"/>
      <w:bookmarkStart w:id="29" w:name="_Toc20823282"/>
      <w:r>
        <w:rPr>
          <w:rFonts w:hint="eastAsia" w:ascii="宋体" w:hAnsi="宋体" w:cs="宋体"/>
          <w:sz w:val="24"/>
          <w:szCs w:val="24"/>
        </w:rPr>
        <w:t>1.磋商文件构成</w:t>
      </w:r>
      <w:bookmarkEnd w:id="27"/>
      <w:bookmarkEnd w:id="28"/>
      <w:bookmarkEnd w:id="29"/>
    </w:p>
    <w:p>
      <w:pPr>
        <w:pStyle w:val="40"/>
        <w:snapToGrid w:val="0"/>
        <w:rPr>
          <w:rFonts w:hint="eastAsia" w:hAnsi="宋体" w:eastAsia="宋体"/>
          <w:sz w:val="24"/>
          <w:szCs w:val="24"/>
        </w:rPr>
      </w:pPr>
      <w:r>
        <w:rPr>
          <w:rFonts w:hint="eastAsia" w:hAnsi="宋体" w:eastAsia="宋体"/>
          <w:sz w:val="24"/>
          <w:szCs w:val="24"/>
        </w:rPr>
        <w:t>磋商文件有以下部分组成：</w:t>
      </w:r>
    </w:p>
    <w:p>
      <w:pPr>
        <w:pStyle w:val="40"/>
        <w:snapToGrid w:val="0"/>
        <w:rPr>
          <w:rFonts w:hint="eastAsia" w:hAnsi="宋体" w:eastAsia="宋体"/>
          <w:sz w:val="24"/>
          <w:szCs w:val="24"/>
        </w:rPr>
      </w:pPr>
      <w:r>
        <w:rPr>
          <w:rFonts w:hint="eastAsia" w:hAnsi="宋体" w:eastAsia="宋体"/>
          <w:sz w:val="24"/>
          <w:szCs w:val="24"/>
        </w:rPr>
        <w:t>（1）磋商公告</w:t>
      </w:r>
    </w:p>
    <w:p>
      <w:pPr>
        <w:pStyle w:val="40"/>
        <w:snapToGrid w:val="0"/>
        <w:rPr>
          <w:rFonts w:hint="eastAsia" w:hAnsi="宋体" w:eastAsia="宋体"/>
          <w:sz w:val="24"/>
          <w:szCs w:val="24"/>
        </w:rPr>
      </w:pPr>
      <w:r>
        <w:rPr>
          <w:rFonts w:hint="eastAsia" w:hAnsi="宋体" w:eastAsia="宋体"/>
          <w:sz w:val="24"/>
          <w:szCs w:val="24"/>
        </w:rPr>
        <w:t>（2）磋商须知前附表</w:t>
      </w:r>
    </w:p>
    <w:p>
      <w:pPr>
        <w:pStyle w:val="40"/>
        <w:snapToGrid w:val="0"/>
        <w:rPr>
          <w:rFonts w:hint="eastAsia" w:hAnsi="宋体" w:eastAsia="宋体"/>
          <w:sz w:val="24"/>
          <w:szCs w:val="24"/>
        </w:rPr>
      </w:pPr>
      <w:r>
        <w:rPr>
          <w:rFonts w:hint="eastAsia" w:hAnsi="宋体" w:eastAsia="宋体"/>
          <w:sz w:val="24"/>
          <w:szCs w:val="24"/>
        </w:rPr>
        <w:t>（3）磋商须知</w:t>
      </w:r>
    </w:p>
    <w:p>
      <w:pPr>
        <w:pStyle w:val="40"/>
        <w:snapToGrid w:val="0"/>
        <w:rPr>
          <w:rFonts w:hint="eastAsia" w:hAnsi="宋体" w:eastAsia="宋体"/>
          <w:sz w:val="24"/>
          <w:szCs w:val="24"/>
        </w:rPr>
      </w:pPr>
      <w:r>
        <w:rPr>
          <w:rFonts w:hint="eastAsia" w:hAnsi="宋体" w:eastAsia="宋体"/>
          <w:sz w:val="24"/>
          <w:szCs w:val="24"/>
        </w:rPr>
        <w:t>（4）合同主要条款</w:t>
      </w:r>
    </w:p>
    <w:p>
      <w:pPr>
        <w:pStyle w:val="40"/>
        <w:snapToGrid w:val="0"/>
        <w:rPr>
          <w:rFonts w:hint="eastAsia" w:hAnsi="宋体" w:eastAsia="宋体"/>
          <w:sz w:val="24"/>
          <w:szCs w:val="24"/>
        </w:rPr>
      </w:pPr>
      <w:r>
        <w:rPr>
          <w:rFonts w:hint="eastAsia" w:hAnsi="宋体" w:eastAsia="宋体"/>
          <w:sz w:val="24"/>
          <w:szCs w:val="24"/>
        </w:rPr>
        <w:t>（5）项目需求</w:t>
      </w:r>
    </w:p>
    <w:p>
      <w:pPr>
        <w:pStyle w:val="40"/>
        <w:snapToGrid w:val="0"/>
        <w:rPr>
          <w:rFonts w:hint="eastAsia" w:hAnsi="宋体" w:eastAsia="宋体"/>
          <w:sz w:val="24"/>
          <w:szCs w:val="24"/>
        </w:rPr>
      </w:pPr>
      <w:r>
        <w:rPr>
          <w:rFonts w:hint="eastAsia" w:hAnsi="宋体" w:eastAsia="宋体"/>
          <w:sz w:val="24"/>
          <w:szCs w:val="24"/>
        </w:rPr>
        <w:t>（6）评审标准</w:t>
      </w:r>
    </w:p>
    <w:p>
      <w:pPr>
        <w:pStyle w:val="40"/>
        <w:snapToGrid w:val="0"/>
        <w:rPr>
          <w:rFonts w:hint="eastAsia" w:hAnsi="宋体" w:eastAsia="宋体"/>
          <w:sz w:val="24"/>
          <w:szCs w:val="24"/>
        </w:rPr>
      </w:pPr>
      <w:r>
        <w:rPr>
          <w:rFonts w:hint="eastAsia" w:hAnsi="宋体" w:eastAsia="宋体"/>
          <w:sz w:val="24"/>
          <w:szCs w:val="24"/>
        </w:rPr>
        <w:t>（7）响应文件格式</w:t>
      </w:r>
    </w:p>
    <w:p>
      <w:pPr>
        <w:adjustRightInd w:val="0"/>
        <w:snapToGrid w:val="0"/>
        <w:spacing w:line="360" w:lineRule="auto"/>
        <w:ind w:firstLine="480" w:firstLineChars="200"/>
        <w:rPr>
          <w:rFonts w:hint="eastAsia" w:ascii="宋体" w:hAnsi="宋体" w:cs="宋体"/>
          <w:sz w:val="24"/>
          <w:szCs w:val="24"/>
        </w:rPr>
      </w:pPr>
      <w:bookmarkStart w:id="30" w:name="_Toc20823283"/>
      <w:bookmarkStart w:id="31" w:name="_Toc16938527"/>
      <w:bookmarkStart w:id="32" w:name="_Toc513029211"/>
      <w:bookmarkStart w:id="33" w:name="_Toc462564070"/>
      <w:r>
        <w:rPr>
          <w:rFonts w:hint="eastAsia" w:ascii="宋体" w:hAnsi="宋体" w:cs="宋体"/>
          <w:sz w:val="24"/>
          <w:szCs w:val="24"/>
        </w:rPr>
        <w:t>2.磋商文件的澄清</w:t>
      </w:r>
      <w:bookmarkEnd w:id="30"/>
      <w:bookmarkEnd w:id="31"/>
      <w:bookmarkEnd w:id="32"/>
      <w:bookmarkEnd w:id="33"/>
      <w:r>
        <w:rPr>
          <w:rFonts w:hint="eastAsia" w:ascii="宋体" w:hAnsi="宋体" w:cs="宋体"/>
          <w:sz w:val="24"/>
          <w:szCs w:val="24"/>
        </w:rPr>
        <w:t>及修改</w:t>
      </w:r>
    </w:p>
    <w:p>
      <w:pPr>
        <w:pStyle w:val="40"/>
        <w:snapToGrid w:val="0"/>
        <w:rPr>
          <w:rFonts w:hint="eastAsia" w:hAnsi="宋体" w:eastAsia="宋体"/>
          <w:sz w:val="24"/>
          <w:szCs w:val="24"/>
        </w:rPr>
      </w:pPr>
      <w:r>
        <w:rPr>
          <w:rFonts w:hint="eastAsia" w:hAnsi="宋体" w:eastAsia="宋体"/>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w:t>
      </w:r>
      <w:r>
        <w:rPr>
          <w:rFonts w:hint="eastAsia" w:hAnsi="宋体" w:eastAsia="宋体"/>
          <w:sz w:val="24"/>
          <w:szCs w:val="24"/>
          <w:lang w:val="en-US" w:eastAsia="zh-CN"/>
        </w:rPr>
        <w:t>3工作</w:t>
      </w:r>
      <w:r>
        <w:rPr>
          <w:rFonts w:hint="eastAsia" w:hAnsi="宋体" w:eastAsia="宋体"/>
          <w:sz w:val="24"/>
          <w:szCs w:val="24"/>
        </w:rPr>
        <w:t>日前，在皖南医学院校园网上发布更正公告通知所有获取磋商文件的供应商。不足</w:t>
      </w:r>
      <w:r>
        <w:rPr>
          <w:rFonts w:hint="eastAsia" w:hAnsi="宋体" w:eastAsia="宋体"/>
          <w:sz w:val="24"/>
          <w:szCs w:val="24"/>
          <w:lang w:val="en-US" w:eastAsia="zh-CN"/>
        </w:rPr>
        <w:t>3工作</w:t>
      </w:r>
      <w:r>
        <w:rPr>
          <w:rFonts w:hint="eastAsia" w:hAnsi="宋体" w:eastAsia="宋体"/>
          <w:sz w:val="24"/>
          <w:szCs w:val="24"/>
        </w:rPr>
        <w:t>日的，顺延提交首次响应文件截止时间。</w:t>
      </w:r>
    </w:p>
    <w:p>
      <w:pPr>
        <w:adjustRightInd w:val="0"/>
        <w:snapToGrid w:val="0"/>
        <w:spacing w:line="360" w:lineRule="auto"/>
        <w:ind w:firstLine="480" w:firstLineChars="200"/>
        <w:rPr>
          <w:rFonts w:hint="eastAsia" w:ascii="宋体" w:hAnsi="宋体" w:cs="宋体"/>
          <w:sz w:val="24"/>
          <w:szCs w:val="24"/>
        </w:rPr>
      </w:pPr>
      <w:bookmarkStart w:id="34" w:name="_Toc16938529"/>
      <w:bookmarkStart w:id="35" w:name="_Toc513029213"/>
      <w:bookmarkStart w:id="36" w:name="_Toc120614216"/>
      <w:bookmarkStart w:id="37" w:name="_Toc403987207"/>
      <w:bookmarkStart w:id="38" w:name="_Toc462564072"/>
      <w:bookmarkStart w:id="39" w:name="_Toc20823285"/>
      <w:r>
        <w:rPr>
          <w:rFonts w:hint="eastAsia" w:ascii="宋体" w:hAnsi="宋体" w:cs="宋体"/>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2.供应商应当按照磋商文件的要求编制响应文件，并</w:t>
      </w:r>
      <w:bookmarkStart w:id="40" w:name="我"/>
      <w:bookmarkEnd w:id="40"/>
      <w:r>
        <w:rPr>
          <w:rFonts w:hint="eastAsia" w:ascii="宋体" w:hAnsi="宋体" w:cs="宋体"/>
          <w:sz w:val="24"/>
          <w:szCs w:val="24"/>
        </w:rPr>
        <w:t>对其提交的响应文件的真实性、合法性承担法律责任。</w:t>
      </w:r>
    </w:p>
    <w:p>
      <w:pPr>
        <w:adjustRightInd w:val="0"/>
        <w:snapToGrid w:val="0"/>
        <w:spacing w:line="360" w:lineRule="auto"/>
        <w:ind w:firstLine="480" w:firstLineChars="200"/>
        <w:rPr>
          <w:rFonts w:hint="eastAsia" w:ascii="宋体" w:hAnsi="宋体" w:cs="宋体"/>
          <w:sz w:val="24"/>
          <w:szCs w:val="24"/>
        </w:rPr>
      </w:pPr>
      <w:bookmarkStart w:id="41" w:name="_Toc16938530"/>
      <w:bookmarkStart w:id="42" w:name="_Toc20823286"/>
      <w:bookmarkStart w:id="43" w:name="_Toc462564073"/>
      <w:bookmarkStart w:id="44" w:name="_Toc513029214"/>
      <w:r>
        <w:rPr>
          <w:rFonts w:hint="eastAsia" w:ascii="宋体" w:hAnsi="宋体" w:cs="宋体"/>
          <w:sz w:val="24"/>
          <w:szCs w:val="24"/>
        </w:rPr>
        <w:t>3.响应文件的语言及度量衡单位</w:t>
      </w:r>
      <w:bookmarkEnd w:id="41"/>
      <w:bookmarkEnd w:id="42"/>
      <w:bookmarkEnd w:id="43"/>
      <w:bookmarkEnd w:id="44"/>
    </w:p>
    <w:p>
      <w:pPr>
        <w:pStyle w:val="40"/>
        <w:snapToGrid w:val="0"/>
        <w:rPr>
          <w:rFonts w:hint="eastAsia" w:hAnsi="宋体" w:eastAsia="宋体"/>
          <w:sz w:val="24"/>
          <w:szCs w:val="24"/>
        </w:rPr>
      </w:pPr>
      <w:r>
        <w:rPr>
          <w:rFonts w:hint="eastAsia" w:hAnsi="宋体" w:eastAsia="宋体"/>
          <w:sz w:val="24"/>
          <w:szCs w:val="24"/>
        </w:rPr>
        <w:t>（1）供应商提交的响应文件以及供应商与我校就有关磋商的所有来往通知、函件和文件均应使用</w:t>
      </w:r>
      <w:r>
        <w:rPr>
          <w:rFonts w:hint="eastAsia" w:hAnsi="宋体" w:eastAsia="宋体"/>
          <w:bCs/>
          <w:sz w:val="24"/>
          <w:szCs w:val="24"/>
        </w:rPr>
        <w:t>简体中文</w:t>
      </w:r>
      <w:r>
        <w:rPr>
          <w:rFonts w:hint="eastAsia" w:hAnsi="宋体" w:eastAsia="宋体"/>
          <w:sz w:val="24"/>
          <w:szCs w:val="24"/>
        </w:rPr>
        <w:t>。</w:t>
      </w:r>
    </w:p>
    <w:p>
      <w:pPr>
        <w:pStyle w:val="40"/>
        <w:snapToGrid w:val="0"/>
        <w:rPr>
          <w:rFonts w:hint="eastAsia" w:hAnsi="宋体" w:eastAsia="宋体"/>
          <w:sz w:val="24"/>
          <w:szCs w:val="24"/>
        </w:rPr>
      </w:pPr>
      <w:r>
        <w:rPr>
          <w:rFonts w:hint="eastAsia" w:hAnsi="宋体" w:eastAsia="宋体"/>
          <w:sz w:val="24"/>
          <w:szCs w:val="24"/>
        </w:rPr>
        <w:t>（2）除技术性能另有规定外，响应文件所使用的度量衡单位，均须采用国家法定计量单位。</w:t>
      </w:r>
    </w:p>
    <w:p>
      <w:pPr>
        <w:adjustRightInd w:val="0"/>
        <w:snapToGrid w:val="0"/>
        <w:spacing w:line="360" w:lineRule="auto"/>
        <w:ind w:firstLine="480" w:firstLineChars="200"/>
        <w:rPr>
          <w:rFonts w:hint="eastAsia" w:ascii="宋体" w:hAnsi="宋体" w:cs="宋体"/>
          <w:sz w:val="24"/>
          <w:szCs w:val="24"/>
        </w:rPr>
      </w:pPr>
      <w:bookmarkStart w:id="45" w:name="_Toc513029215"/>
      <w:bookmarkStart w:id="46" w:name="_Toc16938531"/>
      <w:bookmarkStart w:id="47" w:name="_Toc462564074"/>
      <w:bookmarkStart w:id="48" w:name="_Toc20823287"/>
      <w:r>
        <w:rPr>
          <w:rFonts w:hint="eastAsia" w:ascii="宋体" w:hAnsi="宋体" w:cs="宋体"/>
          <w:sz w:val="24"/>
          <w:szCs w:val="24"/>
        </w:rPr>
        <w:t>4.响应文件构成</w:t>
      </w:r>
      <w:bookmarkEnd w:id="45"/>
      <w:bookmarkEnd w:id="46"/>
      <w:bookmarkEnd w:id="47"/>
      <w:bookmarkEnd w:id="48"/>
    </w:p>
    <w:p>
      <w:pPr>
        <w:pStyle w:val="40"/>
        <w:snapToGrid w:val="0"/>
        <w:rPr>
          <w:rFonts w:hint="eastAsia" w:hAnsi="宋体" w:eastAsia="宋体"/>
          <w:sz w:val="24"/>
          <w:szCs w:val="24"/>
        </w:rPr>
      </w:pPr>
      <w:r>
        <w:rPr>
          <w:rFonts w:hint="eastAsia" w:hAnsi="宋体" w:eastAsia="宋体"/>
          <w:sz w:val="24"/>
          <w:szCs w:val="24"/>
        </w:rPr>
        <w:t>（1）供应商应该按照磋商文件的要求编写响应文件应。</w:t>
      </w:r>
    </w:p>
    <w:p>
      <w:pPr>
        <w:pStyle w:val="40"/>
        <w:snapToGrid w:val="0"/>
        <w:rPr>
          <w:rFonts w:hint="eastAsia" w:hAnsi="宋体" w:eastAsia="宋体"/>
          <w:sz w:val="24"/>
          <w:szCs w:val="24"/>
        </w:rPr>
      </w:pPr>
      <w:r>
        <w:rPr>
          <w:rFonts w:hint="eastAsia" w:hAnsi="宋体" w:eastAsia="宋体"/>
          <w:sz w:val="24"/>
          <w:szCs w:val="24"/>
        </w:rPr>
        <w:t>（2）供应商应将响应文件按顺序装订成册，并编制响应文件资料目录。</w:t>
      </w:r>
    </w:p>
    <w:p>
      <w:pPr>
        <w:adjustRightInd w:val="0"/>
        <w:snapToGrid w:val="0"/>
        <w:spacing w:line="360" w:lineRule="auto"/>
        <w:ind w:firstLine="480" w:firstLineChars="200"/>
        <w:rPr>
          <w:rFonts w:hint="eastAsia" w:ascii="宋体" w:hAnsi="宋体" w:cs="宋体"/>
          <w:sz w:val="24"/>
          <w:szCs w:val="24"/>
        </w:rPr>
      </w:pPr>
      <w:bookmarkStart w:id="49" w:name="_Hlt26670360"/>
      <w:bookmarkEnd w:id="49"/>
      <w:bookmarkStart w:id="50" w:name="_Hlt26954838"/>
      <w:bookmarkEnd w:id="50"/>
      <w:bookmarkStart w:id="51" w:name="_Hlt26668975"/>
      <w:bookmarkEnd w:id="51"/>
      <w:bookmarkStart w:id="52" w:name="_Toc14577357"/>
      <w:bookmarkStart w:id="53" w:name="_Toc513029219"/>
      <w:bookmarkStart w:id="54" w:name="_Toc49090509"/>
      <w:bookmarkStart w:id="55" w:name="_Toc14577354"/>
      <w:bookmarkStart w:id="56" w:name="_Toc49090507"/>
      <w:bookmarkStart w:id="57" w:name="_Toc513029216"/>
      <w:r>
        <w:rPr>
          <w:rFonts w:hint="eastAsia" w:ascii="宋体" w:hAnsi="宋体" w:cs="宋体"/>
          <w:sz w:val="24"/>
          <w:szCs w:val="24"/>
        </w:rPr>
        <w:t>5.证明供应商资格及符合磋商文件规定的文件</w:t>
      </w:r>
      <w:bookmarkEnd w:id="52"/>
      <w:bookmarkEnd w:id="53"/>
      <w:bookmarkEnd w:id="54"/>
    </w:p>
    <w:p>
      <w:pPr>
        <w:pStyle w:val="40"/>
        <w:snapToGrid w:val="0"/>
        <w:rPr>
          <w:rFonts w:hint="eastAsia" w:hAnsi="宋体" w:eastAsia="宋体"/>
          <w:sz w:val="24"/>
          <w:szCs w:val="24"/>
        </w:rPr>
      </w:pPr>
      <w:bookmarkStart w:id="58" w:name="_Hlt26668999"/>
      <w:bookmarkEnd w:id="58"/>
      <w:r>
        <w:rPr>
          <w:rFonts w:hint="eastAsia" w:hAnsi="宋体" w:eastAsia="宋体"/>
          <w:sz w:val="24"/>
          <w:szCs w:val="24"/>
        </w:rPr>
        <w:t>（1）供应商应按要求提交资格证明文件及符合磋商文件规定的文件。</w:t>
      </w:r>
    </w:p>
    <w:p>
      <w:pPr>
        <w:pStyle w:val="40"/>
        <w:snapToGrid w:val="0"/>
        <w:rPr>
          <w:rFonts w:hint="eastAsia" w:hAnsi="宋体" w:eastAsia="宋体"/>
          <w:sz w:val="24"/>
          <w:szCs w:val="24"/>
        </w:rPr>
      </w:pPr>
      <w:r>
        <w:rPr>
          <w:rFonts w:hint="eastAsia" w:hAnsi="宋体" w:eastAsia="宋体"/>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hint="eastAsia" w:ascii="宋体" w:hAnsi="宋体" w:cs="宋体"/>
          <w:sz w:val="24"/>
          <w:szCs w:val="24"/>
        </w:rPr>
      </w:pPr>
      <w:bookmarkStart w:id="59" w:name="_Toc14577355"/>
      <w:bookmarkStart w:id="60" w:name="_Toc49090508"/>
      <w:r>
        <w:rPr>
          <w:rFonts w:hint="eastAsia" w:ascii="宋体" w:hAnsi="宋体" w:cs="宋体"/>
          <w:sz w:val="24"/>
          <w:szCs w:val="24"/>
        </w:rPr>
        <w:t>6.报价</w:t>
      </w:r>
      <w:bookmarkEnd w:id="59"/>
      <w:bookmarkStart w:id="61" w:name="_Hlt26670373"/>
      <w:bookmarkEnd w:id="61"/>
      <w:r>
        <w:rPr>
          <w:rFonts w:hint="eastAsia" w:ascii="宋体" w:hAnsi="宋体" w:cs="宋体"/>
          <w:sz w:val="24"/>
          <w:szCs w:val="24"/>
        </w:rPr>
        <w:t>明细表</w:t>
      </w:r>
      <w:bookmarkEnd w:id="60"/>
    </w:p>
    <w:p>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sz w:val="24"/>
          <w:szCs w:val="24"/>
        </w:rPr>
        <w:t>（1）供应商应按照磋商文件规定格式填报报价</w:t>
      </w:r>
      <w:bookmarkStart w:id="62" w:name="_Hlt26670399"/>
      <w:bookmarkEnd w:id="62"/>
      <w:r>
        <w:rPr>
          <w:rFonts w:hint="eastAsia" w:ascii="宋体" w:hAnsi="宋体" w:cs="宋体"/>
          <w:sz w:val="24"/>
          <w:szCs w:val="24"/>
        </w:rPr>
        <w:t>。每项费用只允许有一个报价，任何有选择的报价将不予接受。（如有）</w:t>
      </w:r>
    </w:p>
    <w:p>
      <w:pPr>
        <w:pStyle w:val="40"/>
        <w:snapToGrid w:val="0"/>
        <w:rPr>
          <w:rFonts w:hint="eastAsia" w:hAnsi="宋体" w:eastAsia="宋体"/>
          <w:sz w:val="24"/>
          <w:szCs w:val="24"/>
        </w:rPr>
      </w:pPr>
      <w:r>
        <w:rPr>
          <w:rFonts w:hint="eastAsia" w:hAnsi="宋体" w:eastAsia="宋体"/>
          <w:bCs/>
          <w:sz w:val="24"/>
          <w:szCs w:val="24"/>
        </w:rPr>
        <w:t>（2）</w:t>
      </w:r>
      <w:r>
        <w:rPr>
          <w:rFonts w:hint="eastAsia" w:hAnsi="宋体" w:eastAsia="宋体"/>
          <w:sz w:val="24"/>
          <w:szCs w:val="24"/>
        </w:rPr>
        <w:t>磋商报价</w:t>
      </w:r>
      <w:r>
        <w:rPr>
          <w:rFonts w:hint="eastAsia" w:hAnsi="宋体" w:eastAsia="宋体"/>
          <w:spacing w:val="-6"/>
          <w:sz w:val="24"/>
          <w:szCs w:val="24"/>
        </w:rPr>
        <w:t>应包括</w:t>
      </w:r>
      <w:r>
        <w:rPr>
          <w:rFonts w:hint="eastAsia" w:hAnsi="宋体" w:eastAsia="宋体"/>
          <w:sz w:val="24"/>
          <w:szCs w:val="24"/>
        </w:rPr>
        <w:t>所需人工费、材料费、其他（保险费，以及合同明示或暗示的风险、责任和义务等）费，以及管理费、利润和规费、税金等一切费用。</w:t>
      </w:r>
    </w:p>
    <w:p>
      <w:pPr>
        <w:pStyle w:val="40"/>
        <w:snapToGrid w:val="0"/>
        <w:ind w:firstLine="482"/>
        <w:rPr>
          <w:rFonts w:hint="eastAsia" w:hAnsi="宋体" w:eastAsia="宋体"/>
          <w:bCs/>
          <w:sz w:val="24"/>
          <w:szCs w:val="24"/>
        </w:rPr>
      </w:pPr>
      <w:r>
        <w:rPr>
          <w:rFonts w:hint="eastAsia" w:hAnsi="宋体" w:eastAsia="宋体"/>
          <w:b/>
          <w:sz w:val="24"/>
          <w:szCs w:val="24"/>
        </w:rPr>
        <w:t>最终报价一经确定不得更改，且不受市场价格波动影响。</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（3）其它费用处理</w:t>
      </w:r>
    </w:p>
    <w:p>
      <w:pPr>
        <w:pStyle w:val="40"/>
        <w:snapToGrid w:val="0"/>
        <w:rPr>
          <w:rFonts w:hint="eastAsia" w:hAnsi="宋体" w:eastAsia="宋体"/>
          <w:sz w:val="24"/>
          <w:szCs w:val="24"/>
        </w:rPr>
      </w:pPr>
      <w:r>
        <w:rPr>
          <w:rFonts w:hint="eastAsia" w:hAnsi="宋体" w:eastAsia="宋体"/>
          <w:sz w:val="24"/>
          <w:szCs w:val="24"/>
        </w:rPr>
        <w:t>磋商文件未列明，而供应商认为必需的费用也需列入报价。</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7.响应文件货币</w:t>
      </w:r>
    </w:p>
    <w:p>
      <w:pPr>
        <w:pStyle w:val="40"/>
        <w:snapToGrid w:val="0"/>
        <w:rPr>
          <w:rFonts w:hint="eastAsia" w:hAnsi="宋体" w:eastAsia="宋体"/>
          <w:sz w:val="24"/>
          <w:szCs w:val="24"/>
        </w:rPr>
      </w:pPr>
      <w:r>
        <w:rPr>
          <w:rFonts w:hint="eastAsia" w:hAnsi="宋体" w:eastAsia="宋体"/>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hint="eastAsia" w:ascii="宋体" w:hAnsi="宋体" w:cs="宋体"/>
          <w:sz w:val="24"/>
          <w:szCs w:val="24"/>
        </w:rPr>
      </w:pPr>
      <w:bookmarkStart w:id="63" w:name="_Hlt26954846"/>
      <w:bookmarkEnd w:id="63"/>
      <w:bookmarkStart w:id="64" w:name="_Hlt26954731"/>
      <w:bookmarkEnd w:id="64"/>
      <w:bookmarkStart w:id="65" w:name="_Hlt26954848"/>
      <w:bookmarkEnd w:id="65"/>
      <w:bookmarkStart w:id="66" w:name="_Hlt26954739"/>
      <w:bookmarkEnd w:id="66"/>
      <w:bookmarkStart w:id="67" w:name="_Hlt26670486"/>
      <w:bookmarkEnd w:id="67"/>
      <w:bookmarkStart w:id="68" w:name="_Hlt26954852"/>
      <w:bookmarkEnd w:id="68"/>
      <w:bookmarkStart w:id="69" w:name="_Hlt26670482"/>
      <w:bookmarkEnd w:id="69"/>
      <w:bookmarkStart w:id="70" w:name="_Toc49090512"/>
      <w:bookmarkStart w:id="71" w:name="_Toc14577361"/>
      <w:r>
        <w:rPr>
          <w:rFonts w:hint="eastAsia" w:ascii="宋体" w:hAnsi="宋体" w:cs="宋体"/>
          <w:sz w:val="24"/>
          <w:szCs w:val="24"/>
          <w:lang w:val="en-US" w:eastAsia="zh-CN"/>
        </w:rPr>
        <w:t>8</w:t>
      </w:r>
      <w:r>
        <w:rPr>
          <w:rFonts w:hint="eastAsia" w:ascii="宋体" w:hAnsi="宋体" w:cs="宋体"/>
          <w:sz w:val="24"/>
          <w:szCs w:val="24"/>
        </w:rPr>
        <w:t>.响应文件份数和签署</w:t>
      </w:r>
      <w:bookmarkEnd w:id="70"/>
      <w:bookmarkEnd w:id="71"/>
    </w:p>
    <w:p>
      <w:pPr>
        <w:pStyle w:val="40"/>
        <w:snapToGrid w:val="0"/>
        <w:rPr>
          <w:rFonts w:hint="eastAsia" w:hAnsi="宋体" w:eastAsia="宋体"/>
          <w:sz w:val="24"/>
          <w:szCs w:val="24"/>
        </w:rPr>
      </w:pPr>
      <w:r>
        <w:rPr>
          <w:rFonts w:hint="eastAsia" w:hAnsi="宋体" w:eastAsia="宋体"/>
          <w:sz w:val="24"/>
          <w:szCs w:val="24"/>
        </w:rPr>
        <w:t>（1）供应商应严格按照磋商公告要求的份数准备响应文件，每份响应文件须清楚地标明“正本”或“副本”字样。一旦正本和副本不符，以正本为准。</w:t>
      </w:r>
    </w:p>
    <w:p>
      <w:pPr>
        <w:pStyle w:val="40"/>
        <w:snapToGrid w:val="0"/>
        <w:rPr>
          <w:rFonts w:hint="eastAsia" w:hAnsi="宋体" w:eastAsia="宋体"/>
          <w:sz w:val="24"/>
          <w:szCs w:val="24"/>
        </w:rPr>
      </w:pPr>
      <w:r>
        <w:rPr>
          <w:rFonts w:hint="eastAsia" w:hAnsi="宋体" w:eastAsia="宋体"/>
          <w:sz w:val="24"/>
          <w:szCs w:val="24"/>
        </w:rPr>
        <w:t>（2）响应文件的正本和所有的副本均需打印或复印，正本由供应商法定代表人或其授权代表签字。授权代表须将“法人授权书”（原件）附在正本响应文件中。</w:t>
      </w:r>
    </w:p>
    <w:p>
      <w:pPr>
        <w:pStyle w:val="40"/>
        <w:snapToGrid w:val="0"/>
        <w:rPr>
          <w:rFonts w:hint="eastAsia" w:hAnsi="宋体" w:eastAsia="宋体"/>
          <w:sz w:val="24"/>
          <w:szCs w:val="24"/>
        </w:rPr>
      </w:pPr>
      <w:r>
        <w:rPr>
          <w:rFonts w:hint="eastAsia" w:hAnsi="宋体" w:eastAsia="宋体"/>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hint="eastAsia" w:ascii="宋体" w:hAnsi="宋体" w:cs="宋体"/>
          <w:sz w:val="24"/>
          <w:szCs w:val="24"/>
        </w:rPr>
      </w:pPr>
      <w:bookmarkStart w:id="72" w:name="_Toc20823296"/>
      <w:bookmarkStart w:id="73" w:name="_Toc120614217"/>
      <w:bookmarkStart w:id="74" w:name="_Toc403987208"/>
      <w:bookmarkStart w:id="75" w:name="_Toc16938540"/>
      <w:bookmarkStart w:id="76" w:name="_Toc513029224"/>
      <w:r>
        <w:rPr>
          <w:rFonts w:hint="eastAsia" w:ascii="宋体" w:hAnsi="宋体" w:cs="宋体"/>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hint="eastAsia" w:ascii="宋体" w:hAnsi="宋体" w:cs="宋体"/>
          <w:sz w:val="24"/>
          <w:szCs w:val="24"/>
        </w:rPr>
      </w:pPr>
      <w:bookmarkStart w:id="77" w:name="_Toc513029225"/>
      <w:bookmarkStart w:id="78" w:name="_Toc16938541"/>
      <w:bookmarkStart w:id="79" w:name="_Toc462564084"/>
      <w:bookmarkStart w:id="80" w:name="_Toc20823297"/>
      <w:r>
        <w:rPr>
          <w:rFonts w:hint="eastAsia" w:ascii="宋体" w:hAnsi="宋体" w:cs="宋体"/>
          <w:sz w:val="24"/>
          <w:szCs w:val="24"/>
        </w:rPr>
        <w:t>1.响应文件的密封和标记</w:t>
      </w:r>
      <w:bookmarkEnd w:id="77"/>
      <w:bookmarkEnd w:id="78"/>
      <w:bookmarkEnd w:id="79"/>
      <w:bookmarkEnd w:id="80"/>
    </w:p>
    <w:p>
      <w:pPr>
        <w:pStyle w:val="40"/>
        <w:snapToGrid w:val="0"/>
        <w:rPr>
          <w:rFonts w:hint="eastAsia" w:hAnsi="宋体" w:eastAsia="宋体"/>
          <w:sz w:val="24"/>
          <w:szCs w:val="24"/>
        </w:rPr>
      </w:pPr>
      <w:r>
        <w:rPr>
          <w:rFonts w:hint="eastAsia" w:hAnsi="宋体" w:eastAsia="宋体"/>
          <w:sz w:val="24"/>
          <w:szCs w:val="24"/>
        </w:rPr>
        <w:t>（1）供应商应将响应文件正本和所有副本密封，并加盖供应商公章。不论供应商成交与否，响应文件均不退回。</w:t>
      </w:r>
    </w:p>
    <w:p>
      <w:pPr>
        <w:pStyle w:val="40"/>
        <w:snapToGrid w:val="0"/>
        <w:rPr>
          <w:rFonts w:hint="eastAsia" w:hAnsi="宋体" w:eastAsia="宋体"/>
          <w:sz w:val="24"/>
          <w:szCs w:val="24"/>
        </w:rPr>
      </w:pPr>
      <w:r>
        <w:rPr>
          <w:rFonts w:hint="eastAsia" w:hAnsi="宋体" w:eastAsia="宋体"/>
          <w:sz w:val="24"/>
          <w:szCs w:val="24"/>
        </w:rPr>
        <w:t>（2）密封的响应文件应：</w:t>
      </w:r>
    </w:p>
    <w:p>
      <w:pPr>
        <w:pStyle w:val="40"/>
        <w:snapToGrid w:val="0"/>
        <w:rPr>
          <w:rFonts w:hint="eastAsia" w:hAnsi="宋体" w:eastAsia="宋体"/>
          <w:sz w:val="24"/>
          <w:szCs w:val="24"/>
        </w:rPr>
      </w:pPr>
      <w:r>
        <w:rPr>
          <w:rFonts w:hint="eastAsia" w:hAnsi="宋体" w:eastAsia="宋体"/>
          <w:sz w:val="24"/>
          <w:szCs w:val="24"/>
        </w:rPr>
        <w:t>1）注明供应商名称，如因标注不清而产生的后果由供应商自负。按磋商公告中注明的地址送达；</w:t>
      </w:r>
    </w:p>
    <w:p>
      <w:pPr>
        <w:pStyle w:val="40"/>
        <w:snapToGrid w:val="0"/>
        <w:rPr>
          <w:rFonts w:hint="eastAsia" w:hAnsi="宋体" w:eastAsia="宋体"/>
          <w:sz w:val="24"/>
          <w:szCs w:val="24"/>
        </w:rPr>
      </w:pPr>
      <w:r>
        <w:rPr>
          <w:rFonts w:hint="eastAsia" w:hAnsi="宋体" w:eastAsia="宋体"/>
          <w:sz w:val="24"/>
          <w:szCs w:val="24"/>
        </w:rPr>
        <w:t>2）注明磋商项目名称、项目编号。</w:t>
      </w:r>
    </w:p>
    <w:p>
      <w:pPr>
        <w:pStyle w:val="40"/>
        <w:snapToGrid w:val="0"/>
        <w:rPr>
          <w:rFonts w:hint="eastAsia" w:hAnsi="宋体" w:eastAsia="宋体"/>
          <w:sz w:val="24"/>
          <w:szCs w:val="24"/>
        </w:rPr>
      </w:pPr>
      <w:r>
        <w:rPr>
          <w:rFonts w:hint="eastAsia" w:hAnsi="宋体" w:eastAsia="宋体"/>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hint="eastAsia" w:ascii="宋体" w:hAnsi="宋体" w:cs="宋体"/>
          <w:sz w:val="24"/>
          <w:szCs w:val="24"/>
        </w:rPr>
      </w:pPr>
      <w:bookmarkStart w:id="81" w:name="_Toc513029226"/>
      <w:bookmarkStart w:id="82" w:name="_Toc16938542"/>
      <w:bookmarkStart w:id="83" w:name="_Toc20823298"/>
      <w:r>
        <w:rPr>
          <w:rFonts w:hint="eastAsia" w:ascii="宋体" w:hAnsi="宋体" w:cs="宋体"/>
          <w:sz w:val="24"/>
          <w:szCs w:val="24"/>
        </w:rPr>
        <w:t>2.响应文件提交截止</w:t>
      </w:r>
      <w:bookmarkEnd w:id="81"/>
      <w:bookmarkEnd w:id="82"/>
      <w:bookmarkEnd w:id="83"/>
      <w:r>
        <w:rPr>
          <w:rFonts w:hint="eastAsia" w:ascii="宋体" w:hAnsi="宋体" w:cs="宋体"/>
          <w:sz w:val="24"/>
          <w:szCs w:val="24"/>
        </w:rPr>
        <w:t>时间</w:t>
      </w:r>
    </w:p>
    <w:p>
      <w:pPr>
        <w:pStyle w:val="40"/>
        <w:snapToGrid w:val="0"/>
        <w:rPr>
          <w:rFonts w:hint="eastAsia" w:hAnsi="宋体" w:eastAsia="宋体"/>
          <w:sz w:val="24"/>
          <w:szCs w:val="24"/>
        </w:rPr>
      </w:pPr>
      <w:r>
        <w:rPr>
          <w:rFonts w:hint="eastAsia" w:hAnsi="宋体" w:eastAsia="宋体"/>
          <w:sz w:val="24"/>
          <w:szCs w:val="24"/>
        </w:rPr>
        <w:t>（1）采购人收到响应文件的时间不得迟于磋商公告中规定的截止时间。</w:t>
      </w:r>
    </w:p>
    <w:p>
      <w:pPr>
        <w:pStyle w:val="40"/>
        <w:snapToGrid w:val="0"/>
        <w:rPr>
          <w:rFonts w:hint="eastAsia" w:hAnsi="宋体" w:eastAsia="宋体"/>
          <w:sz w:val="24"/>
          <w:szCs w:val="24"/>
        </w:rPr>
      </w:pPr>
      <w:r>
        <w:rPr>
          <w:rFonts w:hint="eastAsia" w:hAnsi="宋体" w:eastAsia="宋体"/>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（五）磋商与评审</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1.磋商仪式</w:t>
      </w:r>
    </w:p>
    <w:p>
      <w:pPr>
        <w:pStyle w:val="40"/>
        <w:snapToGrid w:val="0"/>
        <w:rPr>
          <w:rFonts w:hint="eastAsia" w:hAnsi="宋体" w:eastAsia="宋体"/>
          <w:sz w:val="24"/>
          <w:szCs w:val="24"/>
        </w:rPr>
      </w:pPr>
      <w:r>
        <w:rPr>
          <w:rFonts w:hint="eastAsia" w:hAnsi="宋体" w:eastAsia="宋体"/>
          <w:bCs/>
          <w:sz w:val="24"/>
          <w:szCs w:val="24"/>
        </w:rPr>
        <w:t>（1）采购人将在磋商公告中规定的时间和地点组织磋商</w:t>
      </w:r>
      <w:r>
        <w:rPr>
          <w:rFonts w:hint="eastAsia" w:hAnsi="宋体" w:eastAsia="宋体"/>
          <w:sz w:val="24"/>
          <w:szCs w:val="24"/>
        </w:rPr>
        <w:t>。供应商应委派携带有效证件的代表准时参加，参加磋商的代表需签名以证明其出席。</w:t>
      </w:r>
    </w:p>
    <w:p>
      <w:pPr>
        <w:pStyle w:val="40"/>
        <w:snapToGrid w:val="0"/>
        <w:rPr>
          <w:rFonts w:hint="eastAsia" w:hAnsi="宋体" w:eastAsia="宋体"/>
          <w:sz w:val="24"/>
          <w:szCs w:val="24"/>
        </w:rPr>
      </w:pPr>
      <w:r>
        <w:rPr>
          <w:rFonts w:hint="eastAsia" w:hAnsi="宋体" w:eastAsia="宋体"/>
          <w:sz w:val="24"/>
          <w:szCs w:val="24"/>
        </w:rPr>
        <w:t>（2）磋商仪式由采购人代表主持，有关工作人员参加。</w:t>
      </w:r>
    </w:p>
    <w:p>
      <w:pPr>
        <w:pStyle w:val="40"/>
        <w:snapToGrid w:val="0"/>
        <w:rPr>
          <w:rFonts w:hint="eastAsia" w:hAnsi="宋体" w:eastAsia="宋体"/>
          <w:sz w:val="24"/>
          <w:szCs w:val="24"/>
        </w:rPr>
      </w:pPr>
      <w:r>
        <w:rPr>
          <w:rFonts w:hint="eastAsia" w:hAnsi="宋体" w:eastAsia="宋体"/>
          <w:sz w:val="24"/>
          <w:szCs w:val="24"/>
        </w:rPr>
        <w:t>（3）磋商时查验响应文件密封情况，至响应文件开启时间后由磋商小组开启响应文件。</w:t>
      </w:r>
    </w:p>
    <w:p>
      <w:pPr>
        <w:adjustRightInd w:val="0"/>
        <w:snapToGrid w:val="0"/>
        <w:spacing w:line="360" w:lineRule="auto"/>
        <w:ind w:firstLine="480" w:firstLineChars="200"/>
        <w:rPr>
          <w:rFonts w:hint="eastAsia" w:ascii="宋体" w:hAnsi="宋体" w:cs="宋体"/>
          <w:sz w:val="24"/>
          <w:szCs w:val="24"/>
        </w:rPr>
      </w:pPr>
      <w:bookmarkStart w:id="84" w:name="_Toc20823303"/>
      <w:bookmarkStart w:id="85" w:name="_Toc16938547"/>
      <w:bookmarkStart w:id="86" w:name="_Toc513029231"/>
      <w:r>
        <w:rPr>
          <w:rFonts w:hint="eastAsia" w:ascii="宋体" w:hAnsi="宋体" w:cs="宋体"/>
          <w:sz w:val="24"/>
          <w:szCs w:val="24"/>
        </w:rPr>
        <w:t>2.磋商小组</w:t>
      </w:r>
    </w:p>
    <w:p>
      <w:pPr>
        <w:pStyle w:val="40"/>
        <w:snapToGrid w:val="0"/>
        <w:rPr>
          <w:rFonts w:hint="eastAsia" w:hAnsi="宋体" w:eastAsia="宋体"/>
          <w:sz w:val="24"/>
          <w:szCs w:val="24"/>
        </w:rPr>
      </w:pPr>
      <w:r>
        <w:rPr>
          <w:rFonts w:hint="eastAsia" w:hAnsi="宋体" w:eastAsia="宋体"/>
          <w:sz w:val="24"/>
          <w:szCs w:val="24"/>
        </w:rPr>
        <w:t>（1）磋商仪式结束后，采购人将立即组织磋商小组进行磋商。</w:t>
      </w:r>
    </w:p>
    <w:p>
      <w:pPr>
        <w:pStyle w:val="40"/>
        <w:snapToGrid w:val="0"/>
        <w:rPr>
          <w:rFonts w:hint="eastAsia" w:hAnsi="宋体" w:eastAsia="宋体"/>
          <w:sz w:val="24"/>
          <w:szCs w:val="24"/>
        </w:rPr>
      </w:pPr>
      <w:r>
        <w:rPr>
          <w:rFonts w:hint="eastAsia" w:hAnsi="宋体" w:eastAsia="宋体"/>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（3）磋商小组工作原则</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3.响应文件审查</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hint="eastAsia" w:ascii="宋体" w:hAnsi="宋体" w:cs="宋体"/>
          <w:sz w:val="24"/>
          <w:szCs w:val="24"/>
        </w:rPr>
      </w:pPr>
      <w:bookmarkStart w:id="87" w:name="_Toc513029232"/>
      <w:bookmarkStart w:id="88" w:name="_Toc16938548"/>
      <w:bookmarkStart w:id="89" w:name="_Toc20823304"/>
      <w:r>
        <w:rPr>
          <w:rFonts w:hint="eastAsia" w:ascii="宋体" w:hAnsi="宋体" w:cs="宋体"/>
          <w:sz w:val="24"/>
          <w:szCs w:val="24"/>
        </w:rPr>
        <w:t>4.供应商澄清</w:t>
      </w:r>
      <w:bookmarkEnd w:id="87"/>
      <w:bookmarkEnd w:id="88"/>
      <w:bookmarkEnd w:id="89"/>
    </w:p>
    <w:p>
      <w:pPr>
        <w:adjustRightInd w:val="0"/>
        <w:snapToGrid w:val="0"/>
        <w:spacing w:line="360" w:lineRule="auto"/>
        <w:ind w:firstLine="480" w:firstLineChars="200"/>
        <w:rPr>
          <w:rFonts w:hint="eastAsia" w:ascii="宋体" w:hAnsi="宋体" w:cs="宋体"/>
          <w:sz w:val="24"/>
          <w:szCs w:val="24"/>
        </w:rPr>
      </w:pPr>
      <w:bookmarkStart w:id="90" w:name="_Toc513029233"/>
      <w:bookmarkStart w:id="91" w:name="_Toc20823305"/>
      <w:bookmarkStart w:id="92" w:name="_Toc16938549"/>
      <w:r>
        <w:rPr>
          <w:rFonts w:hint="eastAsia" w:ascii="宋体" w:hAnsi="宋体" w:cs="宋体"/>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5.磋商程序、最后报价、综合评分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w:t>
      </w:r>
      <w:r>
        <w:rPr>
          <w:rFonts w:hint="eastAsia" w:ascii="宋体" w:hAnsi="宋体" w:cs="宋体"/>
          <w:b/>
          <w:bCs/>
          <w:sz w:val="24"/>
          <w:szCs w:val="24"/>
        </w:rPr>
        <w:t>磋商文件能够详细列明采购标的的技术、服务要求的，磋商结束后，磋商小组将要求所有实质性响应的供应商在规定时间内提交最后报价</w:t>
      </w:r>
      <w:r>
        <w:rPr>
          <w:rFonts w:hint="eastAsia" w:ascii="宋体" w:hAnsi="宋体" w:cs="宋体"/>
          <w:sz w:val="24"/>
          <w:szCs w:val="24"/>
        </w:rPr>
        <w:t>。最后报价是供应商响应文件的有效组成部分。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（4）已提交响应文件的供应商，在提交最后报价之前，可以根据磋商情况退出磋商。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6.响应无效和终止磋商活动条款</w:t>
      </w:r>
    </w:p>
    <w:p>
      <w:pPr>
        <w:pStyle w:val="40"/>
        <w:snapToGrid w:val="0"/>
        <w:rPr>
          <w:rFonts w:hint="eastAsia" w:hAnsi="宋体" w:eastAsia="宋体"/>
          <w:sz w:val="24"/>
          <w:szCs w:val="24"/>
        </w:rPr>
      </w:pPr>
      <w:bookmarkStart w:id="93" w:name="_Toc20823307"/>
      <w:bookmarkStart w:id="94" w:name="_Toc513029235"/>
      <w:bookmarkStart w:id="95" w:name="_Toc16938551"/>
      <w:r>
        <w:rPr>
          <w:rFonts w:hint="eastAsia" w:hAnsi="宋体" w:eastAsia="宋体"/>
          <w:sz w:val="24"/>
          <w:szCs w:val="24"/>
        </w:rPr>
        <w:t>（1）响应无效条款</w:t>
      </w:r>
    </w:p>
    <w:p>
      <w:pPr>
        <w:pStyle w:val="37"/>
        <w:snapToGrid w:val="0"/>
        <w:ind w:firstLine="480" w:firstLineChars="200"/>
        <w:rPr>
          <w:rFonts w:hint="eastAsia" w:hAnsi="宋体" w:eastAsia="宋体"/>
          <w:sz w:val="24"/>
          <w:szCs w:val="24"/>
        </w:rPr>
      </w:pPr>
      <w:r>
        <w:rPr>
          <w:rFonts w:hint="eastAsia" w:hAnsi="宋体" w:eastAsia="宋体"/>
          <w:sz w:val="24"/>
          <w:szCs w:val="24"/>
        </w:rPr>
        <w:t>1）未按照磋商文件规定要求密封、签署、盖章的；</w:t>
      </w:r>
    </w:p>
    <w:p>
      <w:pPr>
        <w:pStyle w:val="37"/>
        <w:snapToGrid w:val="0"/>
        <w:ind w:firstLine="480" w:firstLineChars="200"/>
        <w:rPr>
          <w:rFonts w:hint="eastAsia" w:hAnsi="宋体" w:eastAsia="宋体"/>
          <w:sz w:val="24"/>
          <w:szCs w:val="24"/>
        </w:rPr>
      </w:pPr>
      <w:r>
        <w:rPr>
          <w:rFonts w:hint="eastAsia" w:hAnsi="宋体" w:eastAsia="宋体"/>
          <w:sz w:val="24"/>
          <w:szCs w:val="24"/>
        </w:rPr>
        <w:t>2）供应商不具备磋商文件中规定资格条件的；</w:t>
      </w:r>
    </w:p>
    <w:p>
      <w:pPr>
        <w:pStyle w:val="37"/>
        <w:snapToGrid w:val="0"/>
        <w:ind w:firstLine="480" w:firstLineChars="200"/>
        <w:rPr>
          <w:rFonts w:hint="eastAsia" w:hAnsi="宋体" w:eastAsia="宋体"/>
          <w:sz w:val="24"/>
          <w:szCs w:val="24"/>
        </w:rPr>
      </w:pPr>
      <w:r>
        <w:rPr>
          <w:rFonts w:hint="eastAsia" w:hAnsi="宋体" w:eastAsia="宋体"/>
          <w:sz w:val="24"/>
          <w:szCs w:val="24"/>
        </w:rPr>
        <w:t>3）不符合法律、法规和磋商文件中规定的其他实质性要求的；</w:t>
      </w:r>
    </w:p>
    <w:p>
      <w:pPr>
        <w:pStyle w:val="37"/>
        <w:snapToGrid w:val="0"/>
        <w:ind w:firstLine="480" w:firstLineChars="200"/>
        <w:rPr>
          <w:rFonts w:hint="eastAsia" w:hAnsi="宋体" w:eastAsia="宋体"/>
          <w:sz w:val="24"/>
          <w:szCs w:val="24"/>
        </w:rPr>
      </w:pPr>
      <w:r>
        <w:rPr>
          <w:rFonts w:hint="eastAsia" w:hAnsi="宋体" w:eastAsia="宋体"/>
          <w:sz w:val="24"/>
          <w:szCs w:val="24"/>
        </w:rPr>
        <w:t>4）其他法律、法规及本磋商文件规定的属响应无效的情形。</w:t>
      </w:r>
    </w:p>
    <w:p>
      <w:pPr>
        <w:pStyle w:val="40"/>
        <w:snapToGrid w:val="0"/>
        <w:rPr>
          <w:rFonts w:hint="eastAsia" w:hAnsi="宋体" w:eastAsia="宋体"/>
          <w:sz w:val="24"/>
          <w:szCs w:val="24"/>
        </w:rPr>
      </w:pPr>
      <w:r>
        <w:rPr>
          <w:rFonts w:hint="eastAsia" w:hAnsi="宋体" w:eastAsia="宋体"/>
          <w:sz w:val="24"/>
          <w:szCs w:val="24"/>
        </w:rPr>
        <w:t>7.终止磋商采购活动的条款</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出现下列情形之一的，采购人将</w:t>
      </w:r>
      <w:r>
        <w:rPr>
          <w:rFonts w:hint="eastAsia" w:ascii="宋体" w:hAnsi="宋体" w:cs="宋体"/>
          <w:sz w:val="24"/>
          <w:szCs w:val="24"/>
          <w:lang w:eastAsia="zh-CN"/>
        </w:rPr>
        <w:t>中止</w:t>
      </w:r>
      <w:r>
        <w:rPr>
          <w:rFonts w:hint="eastAsia" w:ascii="宋体" w:hAnsi="宋体" w:cs="宋体"/>
          <w:sz w:val="24"/>
          <w:szCs w:val="24"/>
        </w:rPr>
        <w:t>磋商采购活动，发布项目</w:t>
      </w:r>
      <w:r>
        <w:rPr>
          <w:rFonts w:hint="eastAsia" w:ascii="宋体" w:hAnsi="宋体" w:cs="宋体"/>
          <w:sz w:val="24"/>
          <w:szCs w:val="24"/>
          <w:lang w:eastAsia="zh-CN"/>
        </w:rPr>
        <w:t>中止</w:t>
      </w:r>
      <w:r>
        <w:rPr>
          <w:rFonts w:hint="eastAsia" w:ascii="宋体" w:hAnsi="宋体" w:cs="宋体"/>
          <w:sz w:val="24"/>
          <w:szCs w:val="24"/>
        </w:rPr>
        <w:t>公告并说明原因，重新开展采购活动：</w:t>
      </w:r>
    </w:p>
    <w:p>
      <w:pPr>
        <w:pStyle w:val="37"/>
        <w:snapToGrid w:val="0"/>
        <w:ind w:firstLine="480" w:firstLineChars="200"/>
        <w:rPr>
          <w:rFonts w:hint="eastAsia" w:hAnsi="宋体" w:eastAsia="宋体"/>
          <w:sz w:val="24"/>
          <w:szCs w:val="24"/>
        </w:rPr>
      </w:pPr>
      <w:r>
        <w:rPr>
          <w:rFonts w:hint="eastAsia" w:hAnsi="宋体" w:eastAsia="宋体"/>
          <w:sz w:val="24"/>
          <w:szCs w:val="24"/>
        </w:rPr>
        <w:t>（1）因情况变化，不再符合规定的磋商采购方式适用情形的；</w:t>
      </w:r>
    </w:p>
    <w:p>
      <w:pPr>
        <w:pStyle w:val="37"/>
        <w:snapToGrid w:val="0"/>
        <w:ind w:firstLine="480" w:firstLineChars="200"/>
        <w:rPr>
          <w:rFonts w:hint="eastAsia" w:hAnsi="宋体" w:eastAsia="宋体"/>
          <w:sz w:val="24"/>
          <w:szCs w:val="24"/>
        </w:rPr>
      </w:pPr>
      <w:r>
        <w:rPr>
          <w:rFonts w:hint="eastAsia" w:hAnsi="宋体" w:eastAsia="宋体"/>
          <w:sz w:val="24"/>
          <w:szCs w:val="24"/>
        </w:rPr>
        <w:t>（2）出现影响采购公正的违法、违规行为的；</w:t>
      </w:r>
    </w:p>
    <w:bookmarkEnd w:id="93"/>
    <w:bookmarkEnd w:id="94"/>
    <w:bookmarkEnd w:id="95"/>
    <w:p>
      <w:pPr>
        <w:adjustRightInd w:val="0"/>
        <w:snapToGrid w:val="0"/>
        <w:spacing w:line="360" w:lineRule="auto"/>
        <w:ind w:firstLine="480" w:firstLineChars="200"/>
        <w:rPr>
          <w:rFonts w:hint="eastAsia" w:ascii="宋体" w:hAnsi="宋体" w:cs="宋体"/>
          <w:sz w:val="24"/>
          <w:szCs w:val="24"/>
        </w:rPr>
      </w:pPr>
      <w:bookmarkStart w:id="96" w:name="_Toc16938554"/>
      <w:bookmarkStart w:id="97" w:name="_Toc20823310"/>
      <w:r>
        <w:rPr>
          <w:rFonts w:hint="eastAsia" w:ascii="宋体" w:hAnsi="宋体" w:cs="宋体"/>
          <w:sz w:val="24"/>
          <w:szCs w:val="24"/>
        </w:rPr>
        <w:t>8.确定</w:t>
      </w:r>
      <w:bookmarkEnd w:id="96"/>
      <w:bookmarkEnd w:id="97"/>
      <w:r>
        <w:rPr>
          <w:rFonts w:hint="eastAsia" w:ascii="宋体" w:hAnsi="宋体" w:cs="宋体"/>
          <w:sz w:val="24"/>
          <w:szCs w:val="24"/>
        </w:rPr>
        <w:t>成交供应商</w:t>
      </w:r>
    </w:p>
    <w:p>
      <w:pPr>
        <w:pStyle w:val="40"/>
        <w:snapToGrid w:val="0"/>
        <w:rPr>
          <w:rFonts w:hint="eastAsia" w:hAnsi="宋体" w:eastAsia="宋体"/>
          <w:sz w:val="24"/>
          <w:szCs w:val="24"/>
        </w:rPr>
      </w:pPr>
      <w:r>
        <w:rPr>
          <w:rFonts w:hint="eastAsia" w:hAnsi="宋体" w:eastAsia="宋体"/>
          <w:sz w:val="24"/>
          <w:szCs w:val="24"/>
        </w:rPr>
        <w:t>（1）采购人在评审结束后5个工作日内，从评审报告提出的中标候选单位中，按照排序由高到低的原则确定中标候选单位。</w:t>
      </w:r>
    </w:p>
    <w:p>
      <w:pPr>
        <w:pStyle w:val="40"/>
        <w:snapToGrid w:val="0"/>
        <w:rPr>
          <w:rFonts w:hint="eastAsia" w:hAnsi="宋体" w:eastAsia="宋体"/>
          <w:sz w:val="24"/>
          <w:szCs w:val="24"/>
        </w:rPr>
      </w:pPr>
      <w:r>
        <w:rPr>
          <w:rFonts w:hint="eastAsia" w:hAnsi="宋体" w:eastAsia="宋体"/>
          <w:sz w:val="24"/>
          <w:szCs w:val="24"/>
        </w:rPr>
        <w:t>（2）采购人在中标单位确定后2个工作日内在“皖南医学院校园网”公告中标结果。</w:t>
      </w:r>
    </w:p>
    <w:p>
      <w:pPr>
        <w:adjustRightInd w:val="0"/>
        <w:snapToGrid w:val="0"/>
        <w:spacing w:line="360" w:lineRule="auto"/>
        <w:ind w:firstLine="480" w:firstLineChars="200"/>
        <w:rPr>
          <w:rFonts w:hint="eastAsia" w:ascii="宋体" w:hAnsi="宋体" w:cs="宋体"/>
          <w:sz w:val="24"/>
          <w:szCs w:val="24"/>
        </w:rPr>
      </w:pPr>
      <w:bookmarkStart w:id="98" w:name="_Toc120614220"/>
      <w:bookmarkStart w:id="99" w:name="_Toc403987211"/>
      <w:bookmarkStart w:id="100" w:name="_Toc20823308"/>
      <w:bookmarkStart w:id="101" w:name="_Toc513029236"/>
      <w:bookmarkStart w:id="102" w:name="_Toc16938552"/>
      <w:r>
        <w:rPr>
          <w:rFonts w:hint="eastAsia" w:ascii="宋体" w:hAnsi="宋体" w:cs="宋体"/>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hint="eastAsia" w:ascii="宋体" w:hAnsi="宋体" w:cs="宋体"/>
          <w:sz w:val="24"/>
          <w:szCs w:val="24"/>
        </w:rPr>
      </w:pPr>
      <w:bookmarkStart w:id="103" w:name="_Toc16938553"/>
      <w:bookmarkStart w:id="104" w:name="_Toc513029237"/>
      <w:bookmarkStart w:id="105" w:name="_Toc20823309"/>
      <w:r>
        <w:rPr>
          <w:rFonts w:hint="eastAsia" w:ascii="宋体" w:hAnsi="宋体" w:cs="宋体"/>
          <w:sz w:val="24"/>
          <w:szCs w:val="24"/>
        </w:rPr>
        <w:t>1.签订合同</w:t>
      </w:r>
    </w:p>
    <w:p>
      <w:pPr>
        <w:pStyle w:val="40"/>
        <w:snapToGrid w:val="0"/>
        <w:rPr>
          <w:rFonts w:hint="eastAsia" w:hAnsi="宋体" w:eastAsia="宋体"/>
          <w:sz w:val="24"/>
          <w:szCs w:val="24"/>
        </w:rPr>
      </w:pPr>
      <w:r>
        <w:rPr>
          <w:rFonts w:hint="eastAsia" w:hAnsi="宋体" w:eastAsia="宋体"/>
          <w:sz w:val="24"/>
          <w:szCs w:val="24"/>
        </w:rPr>
        <w:t>（1）采购人与中标单位应当在中标通知书发出之日起5日内，按照磋商文件确定的合同文本以及采购标的、采购金额、技术和服务要求等事项签订采购合同。</w:t>
      </w:r>
    </w:p>
    <w:p>
      <w:pPr>
        <w:pStyle w:val="40"/>
        <w:snapToGrid w:val="0"/>
        <w:rPr>
          <w:rFonts w:hint="eastAsia" w:hAnsi="宋体" w:eastAsia="宋体"/>
          <w:sz w:val="24"/>
          <w:szCs w:val="24"/>
        </w:rPr>
      </w:pPr>
      <w:r>
        <w:rPr>
          <w:rFonts w:hint="eastAsia" w:hAnsi="宋体" w:eastAsia="宋体"/>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40"/>
        <w:snapToGrid w:val="0"/>
        <w:rPr>
          <w:rFonts w:hint="eastAsia" w:hAnsi="宋体" w:eastAsia="宋体"/>
          <w:sz w:val="24"/>
          <w:szCs w:val="24"/>
        </w:rPr>
      </w:pPr>
      <w:r>
        <w:rPr>
          <w:rFonts w:hint="eastAsia" w:hAnsi="宋体" w:eastAsia="宋体"/>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2.履约保证金</w:t>
      </w:r>
    </w:p>
    <w:p>
      <w:pPr>
        <w:pStyle w:val="40"/>
        <w:snapToGrid w:val="0"/>
        <w:rPr>
          <w:rFonts w:hint="eastAsia" w:hAnsi="宋体" w:eastAsia="宋体"/>
          <w:sz w:val="24"/>
          <w:szCs w:val="24"/>
        </w:rPr>
      </w:pPr>
      <w:r>
        <w:rPr>
          <w:rFonts w:hint="eastAsia" w:hAnsi="宋体" w:eastAsia="宋体"/>
          <w:sz w:val="24"/>
          <w:szCs w:val="24"/>
        </w:rPr>
        <w:t>（1）中标单位在收到成交通知书后，</w:t>
      </w:r>
      <w:bookmarkStart w:id="106" w:name="_Toc200451963"/>
      <w:r>
        <w:rPr>
          <w:rFonts w:hint="eastAsia" w:hAnsi="宋体" w:eastAsia="宋体"/>
          <w:sz w:val="24"/>
          <w:szCs w:val="24"/>
          <w:lang w:eastAsia="zh-CN"/>
        </w:rPr>
        <w:t>在</w:t>
      </w:r>
      <w:r>
        <w:rPr>
          <w:rFonts w:hint="eastAsia" w:hAnsi="宋体" w:eastAsia="宋体"/>
          <w:sz w:val="24"/>
          <w:szCs w:val="24"/>
          <w:lang w:val="en-US" w:eastAsia="zh-CN"/>
        </w:rPr>
        <w:t>3个工作日内缴纳履约保证金</w:t>
      </w:r>
      <w:r>
        <w:rPr>
          <w:rFonts w:hint="eastAsia" w:hAnsi="宋体" w:eastAsia="宋体"/>
          <w:sz w:val="24"/>
          <w:szCs w:val="24"/>
        </w:rPr>
        <w:t>。</w:t>
      </w:r>
    </w:p>
    <w:bookmarkEnd w:id="106"/>
    <w:p>
      <w:pPr>
        <w:pStyle w:val="40"/>
        <w:snapToGrid w:val="0"/>
        <w:rPr>
          <w:rFonts w:hint="eastAsia" w:hAnsi="宋体" w:eastAsia="宋体"/>
          <w:bCs/>
          <w:sz w:val="24"/>
          <w:szCs w:val="24"/>
        </w:rPr>
      </w:pPr>
      <w:r>
        <w:rPr>
          <w:rFonts w:hint="eastAsia" w:hAnsi="宋体" w:eastAsia="宋体"/>
          <w:bCs/>
          <w:sz w:val="24"/>
          <w:szCs w:val="24"/>
        </w:rPr>
        <w:t>（2）履约保证金的退还：合同有效期截止后，</w:t>
      </w:r>
      <w:r>
        <w:rPr>
          <w:rFonts w:hint="eastAsia" w:hAnsi="宋体" w:eastAsia="宋体"/>
          <w:sz w:val="24"/>
          <w:szCs w:val="24"/>
        </w:rPr>
        <w:t>中标单位自行下载、完成《皖南医学院项目履约保证金退付申请表》</w:t>
      </w:r>
      <w:r>
        <w:rPr>
          <w:rFonts w:hint="eastAsia" w:hAnsi="宋体" w:eastAsia="宋体"/>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hint="eastAsia" w:ascii="宋体" w:hAnsi="宋体" w:cs="宋体"/>
          <w:kern w:val="0"/>
          <w:sz w:val="24"/>
          <w:szCs w:val="24"/>
        </w:rPr>
      </w:pPr>
      <w:r>
        <w:rPr>
          <w:rFonts w:hint="eastAsia" w:ascii="宋体" w:hAnsi="宋体"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本项目为我校校内</w:t>
      </w:r>
      <w:r>
        <w:rPr>
          <w:rFonts w:hint="eastAsia" w:ascii="宋体" w:hAnsi="宋体" w:cs="宋体"/>
          <w:kern w:val="0"/>
          <w:sz w:val="24"/>
          <w:szCs w:val="24"/>
          <w:shd w:val="clear" w:color="auto" w:fill="FFFFFF"/>
          <w:lang w:eastAsia="zh-CN"/>
        </w:rPr>
        <w:t>自主</w:t>
      </w:r>
      <w:r>
        <w:rPr>
          <w:rFonts w:hint="eastAsia" w:ascii="宋体" w:hAnsi="宋体" w:cs="宋体"/>
          <w:kern w:val="0"/>
          <w:sz w:val="24"/>
          <w:szCs w:val="24"/>
          <w:shd w:val="clear" w:color="auto" w:fill="FFFFFF"/>
        </w:rPr>
        <w:t>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2、联系电话：0553-3932052；</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3、通讯地址：芜湖市高校园区文昌西路22号皖南医学院国资处。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w:t>
      </w:r>
      <w:r>
        <w:rPr>
          <w:rFonts w:hint="eastAsia" w:ascii="宋体" w:hAnsi="宋体" w:cs="宋体"/>
          <w:kern w:val="0"/>
          <w:sz w:val="24"/>
          <w:szCs w:val="24"/>
          <w:shd w:val="clear" w:color="auto" w:fill="FFFFFF"/>
          <w:lang w:val="en-US" w:eastAsia="zh-CN"/>
        </w:rPr>
        <w:t>纪委办公室</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w:t>
      </w:r>
      <w:r>
        <w:rPr>
          <w:rFonts w:hint="eastAsia" w:ascii="宋体" w:hAnsi="宋体" w:cs="宋体"/>
          <w:kern w:val="0"/>
          <w:sz w:val="24"/>
          <w:szCs w:val="24"/>
          <w:shd w:val="clear" w:color="auto" w:fill="FFFFFF"/>
          <w:lang w:val="en-US" w:eastAsia="zh-CN"/>
        </w:rPr>
        <w:t>226</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bCs/>
          <w:szCs w:val="28"/>
        </w:rPr>
      </w:pPr>
      <w:r>
        <w:rPr>
          <w:rFonts w:hint="eastAsia" w:ascii="宋体" w:hAnsi="宋体" w:cs="宋体"/>
          <w:kern w:val="0"/>
          <w:sz w:val="24"/>
          <w:szCs w:val="24"/>
          <w:shd w:val="clear" w:color="auto" w:fill="FFFFFF"/>
        </w:rPr>
        <w:t>3、通讯地址：芜湖市高校园区文昌西路22号皖南医学院</w:t>
      </w:r>
      <w:r>
        <w:rPr>
          <w:rFonts w:hint="eastAsia" w:ascii="宋体" w:hAnsi="宋体" w:cs="宋体"/>
          <w:kern w:val="0"/>
          <w:sz w:val="24"/>
          <w:szCs w:val="24"/>
          <w:shd w:val="clear" w:color="auto" w:fill="FFFFFF"/>
          <w:lang w:val="en-US" w:eastAsia="zh-CN"/>
        </w:rPr>
        <w:t>纪委</w:t>
      </w:r>
      <w:r>
        <w:rPr>
          <w:rFonts w:hint="eastAsia" w:ascii="宋体" w:hAnsi="宋体" w:cs="宋体"/>
          <w:kern w:val="0"/>
          <w:sz w:val="24"/>
          <w:szCs w:val="24"/>
          <w:shd w:val="clear" w:color="auto" w:fill="FFFFFF"/>
        </w:rPr>
        <w:t>办公室。</w:t>
      </w:r>
    </w:p>
    <w:p>
      <w:pPr>
        <w:pStyle w:val="40"/>
        <w:snapToGrid w:val="0"/>
        <w:ind w:left="0" w:leftChars="0" w:right="280" w:rightChars="100" w:firstLine="0" w:firstLineChars="0"/>
        <w:rPr>
          <w:rFonts w:ascii="仿宋_GB2312" w:hAnsi="宋体" w:eastAsia="仿宋_GB2312"/>
          <w:bCs/>
          <w:szCs w:val="28"/>
        </w:rPr>
      </w:pPr>
    </w:p>
    <w:p>
      <w:pPr>
        <w:pStyle w:val="3"/>
        <w:numPr>
          <w:ilvl w:val="0"/>
          <w:numId w:val="2"/>
        </w:numPr>
        <w:snapToGrid w:val="0"/>
        <w:spacing w:before="0" w:after="0"/>
        <w:ind w:left="947" w:hanging="947"/>
        <w:jc w:val="center"/>
        <w:rPr>
          <w:rFonts w:hint="eastAsia" w:asciiTheme="majorEastAsia" w:hAnsiTheme="majorEastAsia" w:eastAsiaTheme="majorEastAsia" w:cstheme="majorEastAsia"/>
        </w:rPr>
      </w:pPr>
      <w:bookmarkStart w:id="107" w:name="_Toc49763002"/>
      <w:r>
        <w:rPr>
          <w:rFonts w:hint="eastAsia" w:asciiTheme="majorEastAsia" w:hAnsiTheme="majorEastAsia" w:eastAsiaTheme="majorEastAsia" w:cstheme="majorEastAsia"/>
          <w:bCs w:val="0"/>
          <w:color w:val="auto"/>
          <w:highlight w:val="none"/>
        </w:rPr>
        <w:t xml:space="preserve"> 合同主要条款</w:t>
      </w:r>
      <w:bookmarkEnd w:id="107"/>
    </w:p>
    <w:p>
      <w:pPr>
        <w:spacing w:line="360" w:lineRule="auto"/>
        <w:jc w:val="center"/>
        <w:rPr>
          <w:rFonts w:ascii="黑体" w:hAnsi="黑体" w:eastAsia="黑体" w:cs="黑体"/>
          <w:b/>
          <w:spacing w:val="20"/>
          <w:kern w:val="0"/>
          <w:sz w:val="36"/>
          <w:szCs w:val="36"/>
        </w:rPr>
      </w:pPr>
      <w:r>
        <w:rPr>
          <w:rFonts w:hint="eastAsia" w:ascii="黑体" w:hAnsi="黑体" w:eastAsia="黑体" w:cs="黑体"/>
          <w:b/>
          <w:spacing w:val="-6"/>
          <w:kern w:val="0"/>
          <w:sz w:val="36"/>
          <w:szCs w:val="36"/>
        </w:rPr>
        <w:t>皖南医学院2023年度学生宿舍出新工程</w:t>
      </w:r>
    </w:p>
    <w:p>
      <w:pPr>
        <w:spacing w:line="360" w:lineRule="auto"/>
        <w:jc w:val="center"/>
        <w:rPr>
          <w:rFonts w:ascii="黑体" w:hAnsi="黑体" w:eastAsia="黑体" w:cs="黑体"/>
          <w:b/>
          <w:spacing w:val="-6"/>
          <w:kern w:val="0"/>
          <w:sz w:val="36"/>
          <w:szCs w:val="36"/>
        </w:rPr>
      </w:pPr>
      <w:r>
        <w:rPr>
          <w:rFonts w:hint="eastAsia" w:ascii="黑体" w:hAnsi="黑体" w:eastAsia="黑体" w:cs="黑体"/>
          <w:b/>
          <w:spacing w:val="-6"/>
          <w:kern w:val="0"/>
          <w:sz w:val="36"/>
          <w:szCs w:val="36"/>
        </w:rPr>
        <w:t>施工合同</w:t>
      </w:r>
    </w:p>
    <w:p>
      <w:pPr>
        <w:spacing w:line="360" w:lineRule="auto"/>
        <w:rPr>
          <w:rFonts w:ascii="黑体" w:hAnsi="黑体" w:eastAsia="黑体" w:cs="Times New Roman"/>
          <w:sz w:val="28"/>
          <w:szCs w:val="28"/>
        </w:rPr>
      </w:pP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建设单位（以下简称“甲方”）：</w:t>
      </w:r>
      <w:r>
        <w:rPr>
          <w:rFonts w:hint="eastAsia" w:ascii="宋体" w:hAnsi="宋体" w:eastAsia="宋体" w:cs="宋体"/>
          <w:sz w:val="28"/>
          <w:szCs w:val="28"/>
          <w:u w:val="single"/>
        </w:rPr>
        <w:t>皖南医学院</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施工单位（以下简称“乙方”）：</w:t>
      </w:r>
      <w:r>
        <w:rPr>
          <w:rFonts w:hint="eastAsia" w:ascii="宋体" w:hAnsi="宋体" w:eastAsia="宋体" w:cs="宋体"/>
          <w:sz w:val="28"/>
          <w:szCs w:val="28"/>
          <w:u w:val="single"/>
        </w:rPr>
        <w:t xml:space="preserve"> </w:t>
      </w:r>
      <w:r>
        <w:rPr>
          <w:rFonts w:ascii="宋体" w:hAnsi="宋体" w:eastAsia="宋体" w:cs="宋体"/>
          <w:sz w:val="28"/>
          <w:szCs w:val="28"/>
          <w:u w:val="single"/>
        </w:rPr>
        <w:t xml:space="preserve"> </w:t>
      </w:r>
      <w:r>
        <w:rPr>
          <w:rFonts w:hint="eastAsia" w:ascii="宋体" w:hAnsi="宋体" w:eastAsia="宋体" w:cs="宋体"/>
          <w:sz w:val="28"/>
          <w:szCs w:val="28"/>
          <w:u w:val="single"/>
        </w:rPr>
        <w:t xml:space="preserve">    </w:t>
      </w:r>
      <w:r>
        <w:rPr>
          <w:rFonts w:ascii="宋体" w:hAnsi="宋体" w:eastAsia="宋体" w:cs="宋体"/>
          <w:sz w:val="28"/>
          <w:szCs w:val="28"/>
          <w:u w:val="single"/>
        </w:rPr>
        <w:t xml:space="preserve">   </w:t>
      </w:r>
      <w:r>
        <w:rPr>
          <w:rFonts w:hint="eastAsia" w:ascii="宋体" w:hAnsi="宋体" w:eastAsia="宋体" w:cs="宋体"/>
          <w:sz w:val="28"/>
          <w:szCs w:val="28"/>
          <w:u w:val="single"/>
        </w:rPr>
        <w:t xml:space="preserve"> </w:t>
      </w:r>
    </w:p>
    <w:p>
      <w:pPr>
        <w:spacing w:line="360" w:lineRule="auto"/>
        <w:ind w:firstLine="548" w:firstLineChars="196"/>
        <w:rPr>
          <w:rFonts w:ascii="宋体" w:hAnsi="宋体" w:eastAsia="宋体" w:cs="宋体"/>
          <w:sz w:val="28"/>
          <w:szCs w:val="28"/>
        </w:rPr>
      </w:pPr>
      <w:r>
        <w:rPr>
          <w:rFonts w:asciiTheme="majorEastAsia" w:hAnsiTheme="majorEastAsia" w:eastAsiaTheme="majorEastAsia"/>
          <w:sz w:val="28"/>
          <w:szCs w:val="28"/>
        </w:rPr>
        <w:t>根据</w:t>
      </w:r>
      <w:r>
        <w:rPr>
          <w:rFonts w:hint="eastAsia" w:asciiTheme="majorEastAsia" w:hAnsiTheme="majorEastAsia" w:eastAsiaTheme="majorEastAsia"/>
          <w:sz w:val="28"/>
          <w:szCs w:val="28"/>
        </w:rPr>
        <w:t>我国合同、建筑相关</w:t>
      </w:r>
      <w:r>
        <w:rPr>
          <w:rFonts w:asciiTheme="majorEastAsia" w:hAnsiTheme="majorEastAsia" w:eastAsiaTheme="majorEastAsia"/>
          <w:sz w:val="28"/>
          <w:szCs w:val="28"/>
        </w:rPr>
        <w:t>法律规定，遵循平等、自愿、公平和诚实信用的原则，双方就</w:t>
      </w:r>
      <w:r>
        <w:rPr>
          <w:rFonts w:hint="eastAsia" w:asciiTheme="majorEastAsia" w:hAnsiTheme="majorEastAsia" w:eastAsiaTheme="majorEastAsia"/>
          <w:sz w:val="28"/>
          <w:szCs w:val="28"/>
          <w:u w:val="single"/>
        </w:rPr>
        <w:t xml:space="preserve">    </w:t>
      </w:r>
      <w:r>
        <w:rPr>
          <w:rFonts w:asciiTheme="majorEastAsia" w:hAnsiTheme="majorEastAsia" w:eastAsiaTheme="majorEastAsia"/>
          <w:sz w:val="28"/>
          <w:szCs w:val="28"/>
        </w:rPr>
        <w:t>工程施工及有关事项协商一致</w:t>
      </w:r>
      <w:r>
        <w:rPr>
          <w:rFonts w:hint="eastAsia" w:asciiTheme="majorEastAsia" w:hAnsiTheme="majorEastAsia" w:eastAsiaTheme="majorEastAsia"/>
          <w:sz w:val="28"/>
          <w:szCs w:val="28"/>
        </w:rPr>
        <w:t>，</w:t>
      </w:r>
      <w:r>
        <w:rPr>
          <w:rFonts w:asciiTheme="majorEastAsia" w:hAnsiTheme="majorEastAsia" w:eastAsiaTheme="majorEastAsia"/>
          <w:sz w:val="28"/>
          <w:szCs w:val="28"/>
        </w:rPr>
        <w:t>共同</w:t>
      </w:r>
      <w:r>
        <w:rPr>
          <w:rFonts w:hint="eastAsia" w:asciiTheme="majorEastAsia" w:hAnsiTheme="majorEastAsia" w:eastAsiaTheme="majorEastAsia"/>
          <w:sz w:val="28"/>
          <w:szCs w:val="28"/>
        </w:rPr>
        <w:t>签订本合同</w:t>
      </w:r>
      <w:r>
        <w:rPr>
          <w:rFonts w:hint="eastAsia" w:ascii="宋体" w:hAnsi="宋体" w:eastAsia="宋体" w:cs="宋体"/>
          <w:sz w:val="28"/>
          <w:szCs w:val="28"/>
        </w:rPr>
        <w:t>。</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一、工程概况</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1.工程名称：</w:t>
      </w:r>
      <w:r>
        <w:rPr>
          <w:rFonts w:hint="eastAsia" w:ascii="宋体" w:hAnsi="宋体" w:eastAsia="宋体" w:cs="宋体"/>
          <w:sz w:val="28"/>
          <w:szCs w:val="28"/>
          <w:u w:val="single"/>
        </w:rPr>
        <w:t>皖南医学院2023年度学生宿舍出新工程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（合同编号：</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2.工程地点：</w:t>
      </w:r>
      <w:r>
        <w:rPr>
          <w:rFonts w:hint="eastAsia" w:ascii="宋体" w:hAnsi="宋体" w:eastAsia="宋体" w:cs="宋体"/>
          <w:sz w:val="28"/>
          <w:szCs w:val="28"/>
          <w:u w:val="single"/>
        </w:rPr>
        <w:t>皖南医学院滨江校区</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3.合同价：</w:t>
      </w:r>
      <w:r>
        <w:rPr>
          <w:rFonts w:hint="eastAsia" w:ascii="宋体" w:hAnsi="宋体" w:eastAsia="宋体" w:cs="宋体"/>
          <w:sz w:val="28"/>
          <w:szCs w:val="28"/>
          <w:u w:val="single"/>
        </w:rPr>
        <w:t xml:space="preserve">    </w:t>
      </w:r>
      <w:r>
        <w:rPr>
          <w:rFonts w:hint="eastAsia" w:ascii="宋体" w:hAnsi="宋体" w:eastAsia="宋体" w:cs="宋体"/>
          <w:sz w:val="28"/>
          <w:szCs w:val="28"/>
        </w:rPr>
        <w:t>（小写：</w:t>
      </w:r>
      <w:r>
        <w:rPr>
          <w:rFonts w:hint="eastAsia" w:ascii="宋体" w:hAnsi="宋体" w:eastAsia="宋体" w:cs="宋体"/>
          <w:sz w:val="28"/>
          <w:szCs w:val="28"/>
          <w:u w:val="single"/>
        </w:rPr>
        <w:t xml:space="preserve">  </w:t>
      </w:r>
      <w:r>
        <w:rPr>
          <w:rFonts w:hint="eastAsia" w:ascii="宋体" w:hAnsi="宋体" w:eastAsia="宋体" w:cs="宋体"/>
          <w:sz w:val="28"/>
          <w:szCs w:val="28"/>
        </w:rPr>
        <w:t>元）,其中含暂列金额</w:t>
      </w:r>
      <w:r>
        <w:rPr>
          <w:rFonts w:hint="eastAsia" w:ascii="宋体" w:hAnsi="宋体" w:eastAsia="宋体" w:cs="宋体"/>
          <w:sz w:val="28"/>
          <w:szCs w:val="28"/>
          <w:u w:val="single"/>
        </w:rPr>
        <w:t xml:space="preserve"> </w:t>
      </w:r>
      <w:r>
        <w:rPr>
          <w:rFonts w:ascii="宋体" w:hAnsi="宋体" w:eastAsia="宋体" w:cs="宋体"/>
          <w:sz w:val="28"/>
          <w:szCs w:val="28"/>
          <w:u w:val="single"/>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4.合同工期：工期</w:t>
      </w:r>
      <w:r>
        <w:rPr>
          <w:rFonts w:ascii="宋体" w:hAnsi="宋体" w:eastAsia="宋体" w:cs="宋体"/>
          <w:sz w:val="28"/>
          <w:szCs w:val="28"/>
          <w:u w:val="single"/>
        </w:rPr>
        <w:t>30</w:t>
      </w:r>
      <w:r>
        <w:rPr>
          <w:rFonts w:hint="eastAsia" w:ascii="宋体" w:hAnsi="宋体" w:eastAsia="宋体" w:cs="宋体"/>
          <w:sz w:val="28"/>
          <w:szCs w:val="28"/>
        </w:rPr>
        <w:t>日历天，从甲方书面通知进场施工时间开始计算。因乙方原因推迟的按</w:t>
      </w:r>
      <w:r>
        <w:rPr>
          <w:rFonts w:ascii="宋体" w:hAnsi="宋体" w:eastAsia="宋体" w:cs="宋体"/>
          <w:sz w:val="28"/>
          <w:szCs w:val="28"/>
          <w:u w:val="single"/>
        </w:rPr>
        <w:t>500</w:t>
      </w:r>
      <w:r>
        <w:rPr>
          <w:rFonts w:hint="eastAsia" w:ascii="宋体" w:hAnsi="宋体" w:eastAsia="宋体" w:cs="宋体"/>
          <w:sz w:val="28"/>
          <w:szCs w:val="28"/>
        </w:rPr>
        <w:t>元/天对其进行处罚（甲方原因除外，但需乙方书面提出，甲方现场负责人签字确认）；推迟10天及以上甲方将发函警告乙方并没收其全部工程履约保证金，将其录入学校黑名单库，3年内禁止参加学校任何招投标活动。不可抗力因素除外。</w:t>
      </w:r>
    </w:p>
    <w:p>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二、合同文件构成</w:t>
      </w:r>
    </w:p>
    <w:p>
      <w:pPr>
        <w:spacing w:line="360" w:lineRule="auto"/>
        <w:ind w:firstLine="560" w:firstLineChars="200"/>
        <w:rPr>
          <w:rFonts w:asciiTheme="minorEastAsia" w:hAnsiTheme="minorEastAsia"/>
          <w:bCs/>
          <w:color w:val="000000"/>
          <w:sz w:val="28"/>
          <w:szCs w:val="28"/>
        </w:rPr>
      </w:pPr>
      <w:r>
        <w:rPr>
          <w:rFonts w:asciiTheme="minorEastAsia" w:hAnsiTheme="minorEastAsia"/>
          <w:bCs/>
          <w:color w:val="000000"/>
          <w:sz w:val="28"/>
          <w:szCs w:val="28"/>
        </w:rPr>
        <w:t>本</w:t>
      </w:r>
      <w:r>
        <w:rPr>
          <w:rFonts w:hint="eastAsia" w:asciiTheme="minorEastAsia" w:hAnsiTheme="minorEastAsia"/>
          <w:bCs/>
          <w:color w:val="000000"/>
          <w:sz w:val="28"/>
          <w:szCs w:val="28"/>
        </w:rPr>
        <w:t>合同</w:t>
      </w:r>
      <w:r>
        <w:rPr>
          <w:rFonts w:asciiTheme="minorEastAsia" w:hAnsiTheme="minorEastAsia"/>
          <w:bCs/>
          <w:color w:val="000000"/>
          <w:sz w:val="28"/>
          <w:szCs w:val="28"/>
        </w:rPr>
        <w:t>与下列文件一起构成合同文件：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1</w:t>
      </w:r>
      <w:r>
        <w:rPr>
          <w:rFonts w:hint="eastAsia" w:asciiTheme="minorEastAsia" w:hAnsiTheme="minorEastAsia"/>
          <w:color w:val="000000"/>
          <w:sz w:val="28"/>
          <w:szCs w:val="28"/>
        </w:rPr>
        <w:t>.</w:t>
      </w:r>
      <w:r>
        <w:rPr>
          <w:rFonts w:asciiTheme="minorEastAsia" w:hAnsiTheme="minorEastAsia"/>
          <w:color w:val="000000"/>
          <w:sz w:val="28"/>
          <w:szCs w:val="28"/>
        </w:rPr>
        <w:t>中标通知书；</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2</w:t>
      </w:r>
      <w:r>
        <w:rPr>
          <w:rFonts w:hint="eastAsia" w:asciiTheme="minorEastAsia" w:hAnsiTheme="minorEastAsia"/>
          <w:color w:val="000000"/>
          <w:sz w:val="28"/>
          <w:szCs w:val="28"/>
        </w:rPr>
        <w:t>.采购文件</w:t>
      </w:r>
      <w:r>
        <w:rPr>
          <w:rFonts w:asciiTheme="minorEastAsia" w:hAnsiTheme="minorEastAsia"/>
          <w:color w:val="000000"/>
          <w:sz w:val="28"/>
          <w:szCs w:val="28"/>
        </w:rPr>
        <w:t xml:space="preserve">； </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3</w:t>
      </w:r>
      <w:r>
        <w:rPr>
          <w:rFonts w:hint="eastAsia" w:asciiTheme="minorEastAsia" w:hAnsiTheme="minorEastAsia"/>
          <w:color w:val="000000"/>
          <w:sz w:val="28"/>
          <w:szCs w:val="28"/>
        </w:rPr>
        <w:t>.</w:t>
      </w:r>
      <w:r>
        <w:rPr>
          <w:rFonts w:asciiTheme="minorEastAsia" w:hAnsiTheme="minorEastAsia"/>
          <w:color w:val="000000"/>
          <w:sz w:val="28"/>
          <w:szCs w:val="28"/>
        </w:rPr>
        <w:t>投标</w:t>
      </w:r>
      <w:r>
        <w:rPr>
          <w:rFonts w:hint="eastAsia" w:asciiTheme="minorEastAsia" w:hAnsiTheme="minorEastAsia"/>
          <w:color w:val="000000"/>
          <w:sz w:val="28"/>
          <w:szCs w:val="28"/>
        </w:rPr>
        <w:t>文件</w:t>
      </w:r>
      <w:r>
        <w:rPr>
          <w:rFonts w:asciiTheme="minorEastAsia" w:hAnsiTheme="minorEastAsia"/>
          <w:color w:val="000000"/>
          <w:sz w:val="28"/>
          <w:szCs w:val="28"/>
        </w:rPr>
        <w:t>；</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4.</w:t>
      </w:r>
      <w:r>
        <w:rPr>
          <w:rFonts w:asciiTheme="minorEastAsia" w:hAnsiTheme="minorEastAsia"/>
          <w:color w:val="000000"/>
          <w:sz w:val="28"/>
          <w:szCs w:val="28"/>
        </w:rPr>
        <w:t>图纸；</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5.</w:t>
      </w:r>
      <w:r>
        <w:rPr>
          <w:rFonts w:asciiTheme="minorEastAsia" w:hAnsiTheme="minorEastAsia"/>
          <w:color w:val="000000"/>
          <w:sz w:val="28"/>
          <w:szCs w:val="28"/>
        </w:rPr>
        <w:t>已标价工程量清单或预算书；</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6</w:t>
      </w:r>
      <w:r>
        <w:rPr>
          <w:rFonts w:asciiTheme="minorEastAsia" w:hAnsiTheme="minorEastAsia"/>
          <w:color w:val="000000"/>
          <w:sz w:val="28"/>
          <w:szCs w:val="28"/>
        </w:rPr>
        <w:t>.</w:t>
      </w:r>
      <w:r>
        <w:rPr>
          <w:rFonts w:hint="eastAsia" w:asciiTheme="minorEastAsia" w:hAnsiTheme="minorEastAsia"/>
          <w:color w:val="000000"/>
          <w:sz w:val="28"/>
          <w:szCs w:val="28"/>
        </w:rPr>
        <w:t>技术要求；</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6.</w:t>
      </w:r>
      <w:r>
        <w:rPr>
          <w:rFonts w:asciiTheme="minorEastAsia" w:hAnsiTheme="minorEastAsia"/>
          <w:color w:val="000000"/>
          <w:sz w:val="28"/>
          <w:szCs w:val="28"/>
        </w:rPr>
        <w:t>其他合同文件。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在合同订立及履行过程中形成的与合同有关的文件均构成合同文件组成部分。</w:t>
      </w:r>
    </w:p>
    <w:p>
      <w:pPr>
        <w:spacing w:line="360" w:lineRule="auto"/>
        <w:ind w:firstLine="560" w:firstLineChars="200"/>
        <w:rPr>
          <w:rFonts w:cs="宋体" w:asciiTheme="minorEastAsia" w:hAnsiTheme="minorEastAsia"/>
          <w:sz w:val="28"/>
          <w:szCs w:val="28"/>
        </w:rPr>
      </w:pPr>
      <w:r>
        <w:rPr>
          <w:rFonts w:asciiTheme="minorEastAsia" w:hAnsiTheme="minorEastAsia"/>
          <w:color w:val="000000"/>
          <w:sz w:val="28"/>
          <w:szCs w:val="28"/>
        </w:rPr>
        <w:t>上述各项合同文件包括合同当事人就该项合同文件所作出的补充和修改，属于同一类内容的文件，应以最新签署的为准。</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三、工程量结算方式和依据</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1.本工程的计价依据是中标通知书、招标技术要求（图纸、工程量清单、工程控制价、隐蔽工程验收记录单、变更签证单）及建设单位书面通知等。</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2.本合同履约保证金为</w:t>
      </w:r>
      <w:r>
        <w:rPr>
          <w:rFonts w:hint="eastAsia" w:ascii="宋体" w:hAnsi="宋体" w:eastAsia="宋体" w:cs="宋体"/>
          <w:sz w:val="28"/>
          <w:szCs w:val="28"/>
          <w:u w:val="single"/>
        </w:rPr>
        <w:t xml:space="preserve">    </w:t>
      </w:r>
      <w:r>
        <w:rPr>
          <w:rFonts w:hint="eastAsia" w:ascii="宋体" w:hAnsi="宋体" w:eastAsia="宋体" w:cs="宋体"/>
          <w:sz w:val="28"/>
          <w:szCs w:val="28"/>
        </w:rPr>
        <w:t>元。施工结束并经过验收合格后，凭相关凭证（汇款凭证、维修改造工程验收表等）无息退还。</w:t>
      </w:r>
    </w:p>
    <w:p>
      <w:pPr>
        <w:spacing w:line="360" w:lineRule="auto"/>
        <w:ind w:firstLine="560" w:firstLineChars="200"/>
        <w:rPr>
          <w:rFonts w:ascii="宋体" w:hAnsi="宋体"/>
          <w:sz w:val="28"/>
          <w:szCs w:val="21"/>
        </w:rPr>
      </w:pPr>
      <w:r>
        <w:rPr>
          <w:rFonts w:hint="eastAsia" w:ascii="宋体" w:hAnsi="宋体" w:eastAsia="宋体" w:cs="宋体"/>
          <w:sz w:val="28"/>
          <w:szCs w:val="28"/>
        </w:rPr>
        <w:t>3.</w:t>
      </w:r>
      <w:r>
        <w:rPr>
          <w:rFonts w:hint="eastAsia" w:ascii="宋体" w:hAnsi="宋体"/>
          <w:sz w:val="28"/>
          <w:szCs w:val="21"/>
        </w:rPr>
        <w:t>乙方须认真复核工程量清单，如发现工程量清单有漏量、漏项的，应在开工后14日内提出，在规定时间后任何以施工图不详、工程量清单有误等理由提出的索赔要求将不予受理，视为投标报价的优惠，即乙方完全理解并同意</w:t>
      </w:r>
      <w:r>
        <w:rPr>
          <w:rFonts w:hint="eastAsia" w:ascii="宋体" w:hAnsi="宋体"/>
          <w:sz w:val="28"/>
          <w:szCs w:val="28"/>
        </w:rPr>
        <w:t>施工</w:t>
      </w:r>
      <w:r>
        <w:rPr>
          <w:rFonts w:ascii="宋体" w:hAnsi="宋体"/>
          <w:sz w:val="28"/>
          <w:szCs w:val="28"/>
        </w:rPr>
        <w:t>图</w:t>
      </w:r>
      <w:r>
        <w:rPr>
          <w:rFonts w:hint="eastAsia" w:ascii="宋体" w:hAnsi="宋体"/>
          <w:sz w:val="28"/>
          <w:szCs w:val="28"/>
        </w:rPr>
        <w:t>纸</w:t>
      </w:r>
      <w:r>
        <w:rPr>
          <w:rFonts w:ascii="宋体" w:hAnsi="宋体"/>
          <w:sz w:val="28"/>
          <w:szCs w:val="28"/>
        </w:rPr>
        <w:t>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w:t>
      </w:r>
      <w:r>
        <w:rPr>
          <w:rFonts w:hint="eastAsia" w:ascii="宋体" w:hAnsi="宋体"/>
          <w:sz w:val="28"/>
          <w:szCs w:val="21"/>
        </w:rPr>
        <w:t>，施工时须按照</w:t>
      </w:r>
      <w:r>
        <w:rPr>
          <w:rFonts w:hint="eastAsia" w:ascii="宋体" w:hAnsi="宋体"/>
          <w:sz w:val="28"/>
          <w:szCs w:val="28"/>
        </w:rPr>
        <w:t>施工</w:t>
      </w:r>
      <w:r>
        <w:rPr>
          <w:rFonts w:ascii="宋体" w:hAnsi="宋体"/>
          <w:sz w:val="28"/>
          <w:szCs w:val="28"/>
        </w:rPr>
        <w:t>图纸及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（含技术要求）执行，</w:t>
      </w:r>
      <w:r>
        <w:rPr>
          <w:rFonts w:hint="eastAsia" w:ascii="宋体" w:hAnsi="宋体"/>
          <w:sz w:val="28"/>
          <w:szCs w:val="21"/>
        </w:rPr>
        <w:t>施工完成后，必须满足验收规范和使用功能的要求。</w:t>
      </w:r>
    </w:p>
    <w:p>
      <w:pPr>
        <w:spacing w:line="360" w:lineRule="auto"/>
        <w:ind w:firstLine="560" w:firstLineChars="200"/>
        <w:rPr>
          <w:rFonts w:ascii="宋体" w:hAnsi="宋体" w:eastAsia="宋体" w:cs="宋体"/>
          <w:sz w:val="28"/>
          <w:szCs w:val="28"/>
        </w:rPr>
      </w:pPr>
      <w:r>
        <w:rPr>
          <w:rFonts w:hint="eastAsia" w:ascii="宋体" w:hAnsi="宋体"/>
          <w:sz w:val="28"/>
          <w:szCs w:val="28"/>
        </w:rPr>
        <w:t>4.</w:t>
      </w:r>
      <w:r>
        <w:rPr>
          <w:rFonts w:ascii="宋体" w:hAnsi="宋体"/>
          <w:sz w:val="28"/>
          <w:szCs w:val="28"/>
        </w:rPr>
        <w:t>设计变更和</w:t>
      </w:r>
      <w:r>
        <w:rPr>
          <w:rFonts w:hint="eastAsia" w:ascii="宋体" w:hAnsi="宋体"/>
          <w:sz w:val="28"/>
          <w:szCs w:val="28"/>
        </w:rPr>
        <w:t>甲方</w:t>
      </w:r>
      <w:r>
        <w:rPr>
          <w:rFonts w:ascii="宋体" w:hAnsi="宋体"/>
          <w:sz w:val="28"/>
          <w:szCs w:val="28"/>
        </w:rPr>
        <w:t>提出的变更调</w:t>
      </w:r>
      <w:r>
        <w:rPr>
          <w:rFonts w:hint="eastAsia" w:ascii="宋体" w:hAnsi="宋体"/>
          <w:sz w:val="28"/>
          <w:szCs w:val="28"/>
        </w:rPr>
        <w:t>整</w:t>
      </w:r>
      <w:r>
        <w:rPr>
          <w:rFonts w:ascii="宋体" w:hAnsi="宋体"/>
          <w:sz w:val="28"/>
          <w:szCs w:val="28"/>
        </w:rPr>
        <w:t>部分，原则上参照投标文件中单价计算。</w:t>
      </w:r>
      <w:r>
        <w:rPr>
          <w:rFonts w:hint="eastAsia" w:ascii="宋体" w:hAnsi="宋体"/>
          <w:sz w:val="28"/>
          <w:szCs w:val="28"/>
        </w:rPr>
        <w:t>投标文件中没有相同类型的子目，结算时执行</w:t>
      </w:r>
      <w:r>
        <w:rPr>
          <w:rFonts w:hint="eastAsia" w:ascii="宋体" w:hAnsi="宋体"/>
          <w:spacing w:val="20"/>
          <w:sz w:val="28"/>
          <w:szCs w:val="28"/>
        </w:rPr>
        <w:t>2018版《安徽省建设工程工程量清单计价办法》、2018版《安徽省建设工程工程计价定额》及其配套的费用定额、《建设工程工程量清单计价规范》（GB50500-2013）</w:t>
      </w:r>
      <w:r>
        <w:rPr>
          <w:rFonts w:hint="eastAsia" w:ascii="宋体" w:hAnsi="宋体"/>
          <w:sz w:val="28"/>
          <w:szCs w:val="28"/>
        </w:rPr>
        <w:t>，相关优惠率同投标优惠率一致</w:t>
      </w:r>
      <w:r>
        <w:rPr>
          <w:rFonts w:ascii="宋体" w:hAnsi="宋体"/>
          <w:sz w:val="28"/>
          <w:szCs w:val="28"/>
        </w:rPr>
        <w:t>；投标文件中没有的主材参考《芜湖工程造价信息》当月信息价计算，信息价中没有的材料结合市场定价</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Times New Roman"/>
          <w:sz w:val="28"/>
          <w:szCs w:val="28"/>
        </w:rPr>
        <w:t>5.</w:t>
      </w:r>
      <w:r>
        <w:rPr>
          <w:rFonts w:hint="eastAsia"/>
          <w:sz w:val="28"/>
          <w:szCs w:val="28"/>
        </w:rPr>
        <w:t>所有变更签证必须按照皖南医学院有关管理文件办理。具体参照《皖南医学院基建维修工程管理办法（修订）》</w:t>
      </w:r>
      <w:bookmarkStart w:id="108" w:name="文号"/>
      <w:r>
        <w:rPr>
          <w:rFonts w:hint="eastAsia"/>
          <w:sz w:val="28"/>
          <w:szCs w:val="28"/>
        </w:rPr>
        <w:t>（校政〔2020〕118号</w:t>
      </w:r>
      <w:bookmarkEnd w:id="108"/>
      <w:r>
        <w:rPr>
          <w:rFonts w:hint="eastAsia"/>
          <w:sz w:val="28"/>
          <w:szCs w:val="28"/>
        </w:rPr>
        <w:t>）及《后勤管理处基建维修工程变更签证管理规定（修订）》（后勤〔2022〕002号）文件执行。</w:t>
      </w:r>
      <w:r>
        <w:rPr>
          <w:rFonts w:hint="eastAsia" w:ascii="宋体" w:hAnsi="宋体"/>
          <w:sz w:val="28"/>
          <w:szCs w:val="28"/>
        </w:rPr>
        <w:t>否则，视为该项变更不涉及合同价款的变更，若发生费用由乙方自行承担。</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6.所有合同款支付，乙方须提供正规发票。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四、付款及审计</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1.本工程不支付进度款，工程完工后由甲方组织验收，验收合格后凭乙方提供的发票支付至合同价（不含暂列金额）的</w:t>
      </w:r>
      <w:r>
        <w:rPr>
          <w:rFonts w:ascii="宋体" w:hAnsi="宋体" w:eastAsia="宋体" w:cs="宋体"/>
          <w:sz w:val="28"/>
          <w:szCs w:val="28"/>
          <w:u w:val="single"/>
        </w:rPr>
        <w:t>80</w:t>
      </w:r>
      <w:r>
        <w:rPr>
          <w:rFonts w:hint="eastAsia" w:ascii="宋体" w:hAnsi="宋体" w:eastAsia="宋体" w:cs="宋体"/>
          <w:sz w:val="28"/>
          <w:szCs w:val="28"/>
        </w:rPr>
        <w:t>%；审计完成，乙方先将金额为终审价</w:t>
      </w:r>
      <w:r>
        <w:rPr>
          <w:rFonts w:ascii="宋体" w:hAnsi="宋体" w:eastAsia="宋体" w:cs="宋体"/>
          <w:sz w:val="28"/>
          <w:szCs w:val="28"/>
          <w:u w:val="single"/>
        </w:rPr>
        <w:t>3</w:t>
      </w:r>
      <w:r>
        <w:rPr>
          <w:rFonts w:hint="eastAsia" w:ascii="宋体" w:hAnsi="宋体" w:eastAsia="宋体" w:cs="宋体"/>
          <w:sz w:val="28"/>
          <w:szCs w:val="28"/>
        </w:rPr>
        <w:t>%的质保金汇入甲方账户，甲方凭发票及质保金汇款凭证付至终审价的100%；</w:t>
      </w:r>
      <w:r>
        <w:rPr>
          <w:rFonts w:hint="eastAsia" w:ascii="宋体" w:hAnsi="宋体" w:eastAsia="宋体" w:cs="Times New Roman"/>
          <w:sz w:val="28"/>
          <w:szCs w:val="28"/>
        </w:rPr>
        <w:t>质保期满后无质量问题一次性无息退还质保金。</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2.工程结算审核时，凡审增部分及审减率超过10%（不含10%）以上部分的审计服务费由乙方承担，在审核机构审核时直接扣除。费率参照皖价服[2007]86号文件规定的执行。</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五、质量保证</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1.乙方必须严格按照施工图纸、工程量清单及有关规范施工，工程质量须达到</w:t>
      </w:r>
      <w:r>
        <w:rPr>
          <w:rFonts w:hint="eastAsia" w:ascii="宋体" w:hAnsi="宋体" w:eastAsia="宋体" w:cs="宋体"/>
          <w:sz w:val="28"/>
          <w:szCs w:val="28"/>
          <w:u w:val="single"/>
        </w:rPr>
        <w:t>合格</w:t>
      </w:r>
      <w:r>
        <w:rPr>
          <w:rFonts w:hint="eastAsia" w:ascii="宋体" w:hAnsi="宋体" w:eastAsia="宋体" w:cs="宋体"/>
          <w:sz w:val="28"/>
          <w:szCs w:val="28"/>
        </w:rPr>
        <w:t>标准，满足国家和地方现行规范要求。</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hint="eastAsia" w:ascii="宋体" w:hAnsi="宋体"/>
          <w:sz w:val="28"/>
          <w:szCs w:val="28"/>
        </w:rPr>
        <w:t>涉及隐蔽工程内容的，乙方应在隐蔽工程覆盖、掩埋或拆除前通知甲方项目负责人会同审计处进行现场勘查、确认，</w:t>
      </w:r>
      <w:r>
        <w:rPr>
          <w:rFonts w:hint="eastAsia" w:ascii="宋体" w:hAnsi="宋体" w:eastAsia="宋体" w:cs="宋体"/>
          <w:sz w:val="28"/>
          <w:szCs w:val="28"/>
        </w:rPr>
        <w:t>并办理《隐蔽工程验收记录单》，未办理的隐蔽工程涉及的工程量不予认定</w:t>
      </w:r>
      <w:r>
        <w:rPr>
          <w:rFonts w:hint="eastAsia" w:ascii="宋体" w:hAnsi="宋体"/>
          <w:sz w:val="28"/>
          <w:szCs w:val="28"/>
        </w:rPr>
        <w:t>。</w:t>
      </w:r>
    </w:p>
    <w:tbl>
      <w:tblPr>
        <w:tblStyle w:val="29"/>
        <w:tblpPr w:leftFromText="180" w:rightFromText="180" w:vertAnchor="text" w:horzAnchor="page" w:tblpX="1800" w:tblpY="1213"/>
        <w:tblOverlap w:val="never"/>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1374"/>
        <w:gridCol w:w="2976"/>
        <w:gridCol w:w="3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61"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序号</w:t>
            </w:r>
          </w:p>
        </w:tc>
        <w:tc>
          <w:tcPr>
            <w:tcW w:w="1374"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材料名称</w:t>
            </w:r>
          </w:p>
        </w:tc>
        <w:tc>
          <w:tcPr>
            <w:tcW w:w="2976"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品牌范围</w:t>
            </w:r>
          </w:p>
        </w:tc>
        <w:tc>
          <w:tcPr>
            <w:tcW w:w="3347"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1</w:t>
            </w:r>
          </w:p>
        </w:tc>
        <w:tc>
          <w:tcPr>
            <w:tcW w:w="1374"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涂料</w:t>
            </w:r>
          </w:p>
        </w:tc>
        <w:tc>
          <w:tcPr>
            <w:tcW w:w="2976"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多乐士、立邦、嘉宝莉</w:t>
            </w:r>
          </w:p>
        </w:tc>
        <w:tc>
          <w:tcPr>
            <w:tcW w:w="3347" w:type="dxa"/>
            <w:vAlign w:val="center"/>
          </w:tcPr>
          <w:p>
            <w:pPr>
              <w:pStyle w:val="71"/>
              <w:spacing w:line="500" w:lineRule="exact"/>
              <w:jc w:val="lef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底漆和面漆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61" w:type="dxa"/>
            <w:vAlign w:val="center"/>
          </w:tcPr>
          <w:p>
            <w:pPr>
              <w:pStyle w:val="71"/>
              <w:spacing w:line="500" w:lineRule="exact"/>
              <w:rPr>
                <w:rFonts w:asciiTheme="minorEastAsia" w:hAnsiTheme="minorEastAsia" w:eastAsiaTheme="minorEastAsia"/>
                <w:b w:val="0"/>
                <w:kern w:val="0"/>
                <w:sz w:val="28"/>
                <w:szCs w:val="28"/>
              </w:rPr>
            </w:pPr>
            <w:r>
              <w:rPr>
                <w:rFonts w:asciiTheme="minorEastAsia" w:hAnsiTheme="minorEastAsia" w:eastAsiaTheme="minorEastAsia"/>
                <w:b w:val="0"/>
                <w:kern w:val="0"/>
                <w:sz w:val="28"/>
                <w:szCs w:val="28"/>
              </w:rPr>
              <w:t>2</w:t>
            </w:r>
          </w:p>
        </w:tc>
        <w:tc>
          <w:tcPr>
            <w:tcW w:w="1374"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灯具</w:t>
            </w:r>
          </w:p>
        </w:tc>
        <w:tc>
          <w:tcPr>
            <w:tcW w:w="2976"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欧普、雷士（非旗下）、飞利浦</w:t>
            </w:r>
          </w:p>
        </w:tc>
        <w:tc>
          <w:tcPr>
            <w:tcW w:w="3347" w:type="dxa"/>
            <w:vAlign w:val="center"/>
          </w:tcPr>
          <w:p>
            <w:pPr>
              <w:pStyle w:val="71"/>
              <w:spacing w:line="500" w:lineRule="exact"/>
              <w:jc w:val="lef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3</w:t>
            </w:r>
            <w:r>
              <w:rPr>
                <w:rFonts w:asciiTheme="minorEastAsia" w:hAnsiTheme="minorEastAsia" w:eastAsiaTheme="minorEastAsia"/>
                <w:b w:val="0"/>
                <w:kern w:val="0"/>
                <w:sz w:val="28"/>
                <w:szCs w:val="28"/>
              </w:rPr>
              <w:t>00*300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pStyle w:val="71"/>
              <w:spacing w:line="500" w:lineRule="exact"/>
              <w:rPr>
                <w:rFonts w:asciiTheme="minorEastAsia" w:hAnsiTheme="minorEastAsia" w:eastAsiaTheme="minorEastAsia"/>
                <w:b w:val="0"/>
                <w:kern w:val="0"/>
                <w:sz w:val="28"/>
                <w:szCs w:val="28"/>
              </w:rPr>
            </w:pPr>
            <w:r>
              <w:rPr>
                <w:rFonts w:asciiTheme="minorEastAsia" w:hAnsiTheme="minorEastAsia" w:eastAsiaTheme="minorEastAsia"/>
                <w:b w:val="0"/>
                <w:kern w:val="0"/>
                <w:sz w:val="28"/>
                <w:szCs w:val="28"/>
              </w:rPr>
              <w:t>3</w:t>
            </w:r>
          </w:p>
        </w:tc>
        <w:tc>
          <w:tcPr>
            <w:tcW w:w="1374"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铝板吊顶</w:t>
            </w:r>
          </w:p>
        </w:tc>
        <w:tc>
          <w:tcPr>
            <w:tcW w:w="2976"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奥普、欧曼、奥华</w:t>
            </w:r>
          </w:p>
        </w:tc>
        <w:tc>
          <w:tcPr>
            <w:tcW w:w="3347" w:type="dxa"/>
            <w:vAlign w:val="center"/>
          </w:tcPr>
          <w:p>
            <w:pPr>
              <w:pStyle w:val="71"/>
              <w:spacing w:line="500" w:lineRule="exact"/>
              <w:jc w:val="lef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300*300铝板，厚度不小于0.6mm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4</w:t>
            </w:r>
          </w:p>
        </w:tc>
        <w:tc>
          <w:tcPr>
            <w:tcW w:w="1374"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钢质门</w:t>
            </w:r>
          </w:p>
        </w:tc>
        <w:tc>
          <w:tcPr>
            <w:tcW w:w="2976"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盼盼、步阳、王力</w:t>
            </w:r>
          </w:p>
        </w:tc>
        <w:tc>
          <w:tcPr>
            <w:tcW w:w="3347" w:type="dxa"/>
            <w:vAlign w:val="center"/>
          </w:tcPr>
          <w:p>
            <w:pPr>
              <w:pStyle w:val="71"/>
              <w:spacing w:line="500" w:lineRule="exact"/>
              <w:jc w:val="left"/>
              <w:rPr>
                <w:rFonts w:asciiTheme="minorEastAsia" w:hAnsiTheme="minorEastAsia" w:eastAsiaTheme="minorEastAsia"/>
                <w:b w:val="0"/>
                <w:kern w:val="0"/>
                <w:sz w:val="21"/>
                <w:szCs w:val="21"/>
              </w:rPr>
            </w:pPr>
            <w:r>
              <w:rPr>
                <w:rFonts w:hint="eastAsia" w:asciiTheme="minorEastAsia" w:hAnsiTheme="minorEastAsia" w:eastAsiaTheme="minorEastAsia"/>
                <w:b w:val="0"/>
                <w:kern w:val="0"/>
                <w:sz w:val="21"/>
                <w:szCs w:val="21"/>
              </w:rPr>
              <w:t>烤漆，颜色待定，双面插销，前板厚度不小于0.8mm，后板厚度不小于0.8mm，门框板材厚度不小于1.5mm，门扇厚度不小于5cm，门框材质同门扇，门槛为不锈钢材质，厚度不小于1.5mm，铰链采用明铰链，需配3副铰链，蜂窝纸填充。样式参照原钢质门，含门牌。</w:t>
            </w:r>
          </w:p>
        </w:tc>
      </w:tr>
    </w:tbl>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3.所有材料进场前需报甲方项目负责人确认，材料品牌范围及要求如下（未列入的见投标文件）。</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备注：招标文件中规定品牌的材料，必须按招标文件要求采购使用，材料进场时必须报甲方现场负责人签字确认品牌及数量，没有签字确认的材料禁止使用、不支付相应材料的工程款。</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4.本工程</w:t>
      </w:r>
      <w:r>
        <w:rPr>
          <w:rFonts w:hint="eastAsia" w:ascii="宋体" w:hAnsi="宋体" w:eastAsia="宋体" w:cs="Times New Roman"/>
          <w:sz w:val="28"/>
          <w:szCs w:val="28"/>
        </w:rPr>
        <w:t>质保期</w:t>
      </w:r>
      <w:r>
        <w:rPr>
          <w:rFonts w:ascii="宋体" w:hAnsi="宋体" w:eastAsia="宋体" w:cs="Times New Roman"/>
          <w:sz w:val="28"/>
          <w:szCs w:val="28"/>
          <w:u w:val="single"/>
        </w:rPr>
        <w:t>1</w:t>
      </w:r>
      <w:r>
        <w:rPr>
          <w:rFonts w:hint="eastAsia" w:ascii="宋体" w:hAnsi="宋体" w:eastAsia="宋体" w:cs="Times New Roman"/>
          <w:sz w:val="28"/>
          <w:szCs w:val="28"/>
          <w:u w:val="single"/>
        </w:rPr>
        <w:t>2</w:t>
      </w:r>
      <w:r>
        <w:rPr>
          <w:rFonts w:hint="eastAsia" w:ascii="宋体" w:hAnsi="宋体" w:eastAsia="宋体" w:cs="Times New Roman"/>
          <w:sz w:val="28"/>
          <w:szCs w:val="28"/>
        </w:rPr>
        <w:t>个月，质保期自工程竣工验收合格之日起计算。</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六、安全管理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1.乙方必须严格按照《建设工程安全生产管理条例》等法律法规求，安全生产，文明施工。</w:t>
      </w:r>
    </w:p>
    <w:p>
      <w:pPr>
        <w:spacing w:line="360" w:lineRule="auto"/>
        <w:ind w:firstLine="560" w:firstLineChars="200"/>
        <w:rPr>
          <w:ins w:id="0" w:author="王戬" w:date="2021-03-31T14:30:00Z"/>
          <w:rFonts w:ascii="宋体" w:hAnsi="宋体"/>
          <w:sz w:val="28"/>
          <w:szCs w:val="28"/>
        </w:rPr>
      </w:pPr>
      <w:r>
        <w:rPr>
          <w:rFonts w:hint="eastAsia" w:ascii="宋体" w:hAnsi="宋体" w:eastAsia="宋体" w:cs="宋体"/>
          <w:sz w:val="28"/>
          <w:szCs w:val="28"/>
        </w:rPr>
        <w:t>2.</w:t>
      </w:r>
      <w:r>
        <w:rPr>
          <w:rFonts w:hint="eastAsia" w:ascii="宋体" w:hAnsi="宋体"/>
          <w:sz w:val="28"/>
          <w:szCs w:val="28"/>
        </w:rPr>
        <w:t>乙方</w:t>
      </w:r>
      <w:r>
        <w:rPr>
          <w:rFonts w:ascii="宋体" w:hAnsi="宋体"/>
          <w:sz w:val="28"/>
          <w:szCs w:val="28"/>
        </w:rPr>
        <w:t>必须完善自身质量安全管理体系和文明施工措施，杜绝野蛮施工和安全事故发生。若发生质量或安全事故，由</w:t>
      </w:r>
      <w:r>
        <w:rPr>
          <w:rFonts w:hint="eastAsia" w:ascii="宋体" w:hAnsi="宋体"/>
          <w:sz w:val="28"/>
          <w:szCs w:val="28"/>
        </w:rPr>
        <w:t>乙方</w:t>
      </w:r>
      <w:r>
        <w:rPr>
          <w:rFonts w:ascii="宋体" w:hAnsi="宋体"/>
          <w:sz w:val="28"/>
          <w:szCs w:val="28"/>
        </w:rPr>
        <w:t>承担一切</w:t>
      </w:r>
      <w:r>
        <w:rPr>
          <w:rFonts w:hint="eastAsia" w:ascii="宋体" w:hAnsi="宋体"/>
          <w:sz w:val="28"/>
          <w:szCs w:val="28"/>
        </w:rPr>
        <w:t>责任</w:t>
      </w:r>
      <w:r>
        <w:rPr>
          <w:rFonts w:ascii="宋体" w:hAnsi="宋体"/>
          <w:sz w:val="28"/>
          <w:szCs w:val="28"/>
        </w:rPr>
        <w:t>，造成</w:t>
      </w:r>
      <w:r>
        <w:rPr>
          <w:rFonts w:hint="eastAsia" w:ascii="宋体" w:hAnsi="宋体"/>
          <w:sz w:val="28"/>
          <w:szCs w:val="28"/>
        </w:rPr>
        <w:t>甲方</w:t>
      </w:r>
      <w:r>
        <w:rPr>
          <w:rFonts w:ascii="宋体" w:hAnsi="宋体"/>
          <w:sz w:val="28"/>
          <w:szCs w:val="28"/>
        </w:rPr>
        <w:t>损失的按实赔偿，并承担相应法律责任。</w:t>
      </w:r>
    </w:p>
    <w:p>
      <w:pPr>
        <w:spacing w:line="360" w:lineRule="auto"/>
        <w:ind w:firstLine="560" w:firstLineChars="200"/>
        <w:rPr>
          <w:rFonts w:ascii="宋体" w:hAnsi="宋体" w:eastAsia="宋体" w:cs="宋体"/>
          <w:sz w:val="28"/>
          <w:szCs w:val="28"/>
        </w:rPr>
      </w:pPr>
      <w:r>
        <w:rPr>
          <w:rFonts w:hint="eastAsia" w:ascii="宋体" w:hAnsi="宋体"/>
          <w:sz w:val="28"/>
          <w:szCs w:val="28"/>
        </w:rPr>
        <w:t>3.</w:t>
      </w:r>
      <w:r>
        <w:rPr>
          <w:rFonts w:hint="eastAsia"/>
          <w:sz w:val="28"/>
          <w:szCs w:val="28"/>
        </w:rPr>
        <w:t>工程材料、设备、构配件及已完工程在竣工验收交付前均由乙方负责看护，丢失、被盗、损坏等责任均由乙方承担。</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七、现场岗位管理与责任</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1.甲方需指派专人和乙方联系，并告知联系人联系方式。</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2.甲方有义务协调、配合乙方人员进行现场施工。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3.乙方项目经理或授权委托人</w:t>
      </w:r>
      <w:r>
        <w:rPr>
          <w:rFonts w:hint="eastAsia" w:ascii="宋体" w:hAnsi="宋体" w:eastAsia="宋体" w:cs="宋体"/>
          <w:sz w:val="28"/>
          <w:szCs w:val="28"/>
          <w:u w:val="single"/>
        </w:rPr>
        <w:t xml:space="preserve">    </w:t>
      </w:r>
      <w:r>
        <w:rPr>
          <w:rFonts w:hint="eastAsia" w:ascii="宋体" w:hAnsi="宋体" w:eastAsia="宋体" w:cs="宋体"/>
          <w:sz w:val="28"/>
          <w:szCs w:val="28"/>
        </w:rPr>
        <w:t>为现场负责人（联系方式：</w:t>
      </w:r>
      <w:r>
        <w:rPr>
          <w:rFonts w:hint="eastAsia" w:ascii="宋体" w:hAnsi="宋体" w:eastAsia="宋体" w:cs="宋体"/>
          <w:sz w:val="28"/>
          <w:szCs w:val="28"/>
          <w:u w:val="single"/>
        </w:rPr>
        <w:t xml:space="preserve">    </w:t>
      </w:r>
      <w:r>
        <w:rPr>
          <w:rFonts w:hint="eastAsia" w:ascii="宋体" w:hAnsi="宋体" w:eastAsia="宋体" w:cs="宋体"/>
          <w:sz w:val="28"/>
          <w:szCs w:val="28"/>
        </w:rPr>
        <w:t>），是甲方认可的现场负责人，该同志必须常驻现场，负责处理乙方施工过程中发生的一切事项；甲方指定后勤管理处</w:t>
      </w:r>
      <w:r>
        <w:rPr>
          <w:rFonts w:hint="eastAsia" w:ascii="宋体" w:hAnsi="宋体" w:eastAsia="宋体" w:cs="宋体"/>
          <w:sz w:val="28"/>
          <w:szCs w:val="28"/>
          <w:u w:val="single"/>
        </w:rPr>
        <w:t>张亚磊</w:t>
      </w:r>
      <w:r>
        <w:rPr>
          <w:rFonts w:hint="eastAsia" w:ascii="宋体" w:hAnsi="宋体" w:eastAsia="宋体" w:cs="宋体"/>
          <w:sz w:val="28"/>
          <w:szCs w:val="28"/>
        </w:rPr>
        <w:t>（联系方式：</w:t>
      </w:r>
      <w:r>
        <w:rPr>
          <w:rFonts w:ascii="宋体" w:hAnsi="宋体" w:eastAsia="宋体" w:cs="宋体"/>
          <w:sz w:val="28"/>
          <w:szCs w:val="28"/>
          <w:u w:val="single"/>
        </w:rPr>
        <w:t>0553</w:t>
      </w:r>
      <w:r>
        <w:rPr>
          <w:rFonts w:hint="eastAsia" w:ascii="宋体" w:hAnsi="宋体" w:eastAsia="宋体" w:cs="宋体"/>
          <w:sz w:val="28"/>
          <w:szCs w:val="28"/>
          <w:u w:val="single"/>
        </w:rPr>
        <w:t>-</w:t>
      </w:r>
      <w:r>
        <w:rPr>
          <w:rFonts w:ascii="宋体" w:hAnsi="宋体" w:eastAsia="宋体" w:cs="宋体"/>
          <w:sz w:val="28"/>
          <w:szCs w:val="28"/>
          <w:u w:val="single"/>
        </w:rPr>
        <w:t>3932657</w:t>
      </w:r>
      <w:r>
        <w:rPr>
          <w:rFonts w:hint="eastAsia" w:ascii="宋体" w:hAnsi="宋体" w:eastAsia="宋体" w:cs="宋体"/>
          <w:sz w:val="28"/>
          <w:szCs w:val="28"/>
        </w:rPr>
        <w:t>）为该项目的现场负责人，负责项目管理、结算办理及工程款支付等相关事宜。</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乙方应做到文明施工，施工期间不得污染或损坏校园其他设施（不得在沥青路面上拌制混凝土及砂浆，直接堆放水泥），花岗岩路面不能行车，材料及垃圾要注意人工二次倒运，如有损坏，乙方负责按原样修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5.在施工期间，乙方应每天清理施工现场，垃圾堆放有序并及时（每天）装袋运至校外。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6.施工用水用电装表计量，</w:t>
      </w:r>
      <w:r>
        <w:rPr>
          <w:rFonts w:hint="eastAsia" w:ascii="宋体" w:hAnsi="宋体"/>
          <w:sz w:val="28"/>
          <w:szCs w:val="28"/>
        </w:rPr>
        <w:t>电费按1.00元/度计取，水费按3.00元/吨计取，</w:t>
      </w:r>
      <w:r>
        <w:rPr>
          <w:rFonts w:hint="eastAsia" w:ascii="宋体" w:hAnsi="宋体" w:eastAsia="宋体" w:cs="宋体"/>
          <w:sz w:val="28"/>
          <w:szCs w:val="28"/>
        </w:rPr>
        <w:t>按照实际用量按实计费后缴纳至学校账户，无计量或没有缴纳水电费的按照工程结算终审价的千分之七在结算审计时予以扣除。</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八、工程验收</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1.工程完工后及时报学校组织验收，验收合格后办理工程结算。</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2.验收时乙方须提供详细的资料清单，验收合格后</w:t>
      </w:r>
      <w:r>
        <w:rPr>
          <w:rFonts w:ascii="宋体" w:hAnsi="宋体" w:eastAsia="宋体" w:cs="宋体"/>
          <w:sz w:val="28"/>
          <w:szCs w:val="28"/>
        </w:rPr>
        <w:t>28</w:t>
      </w:r>
      <w:r>
        <w:rPr>
          <w:rFonts w:hint="eastAsia" w:ascii="宋体" w:hAnsi="宋体" w:eastAsia="宋体" w:cs="宋体"/>
          <w:sz w:val="28"/>
          <w:szCs w:val="28"/>
        </w:rPr>
        <w:t>日内提交两套工程竣工结算资料（结算书、招投标文件、中标通知书、施工合同、隐蔽工程验收记录单、变更签证单、材料品牌确认表、合格证、维修改造工程验收表、竣工图、水电费缴纳收据等），如延期提交，</w:t>
      </w:r>
      <w:r>
        <w:rPr>
          <w:rFonts w:hint="eastAsia" w:ascii="宋体" w:hAnsi="宋体"/>
          <w:sz w:val="28"/>
          <w:szCs w:val="28"/>
        </w:rPr>
        <w:t>在结算审计时按</w:t>
      </w:r>
      <w:r>
        <w:rPr>
          <w:rFonts w:ascii="宋体" w:hAnsi="宋体"/>
          <w:sz w:val="28"/>
          <w:szCs w:val="28"/>
        </w:rPr>
        <w:t>500</w:t>
      </w:r>
      <w:r>
        <w:rPr>
          <w:rFonts w:hint="eastAsia" w:ascii="宋体" w:hAnsi="宋体"/>
          <w:sz w:val="28"/>
          <w:szCs w:val="28"/>
        </w:rPr>
        <w:t>元/天进行扣款，1万元封顶。</w:t>
      </w:r>
      <w:r>
        <w:rPr>
          <w:rFonts w:hint="eastAsia" w:ascii="宋体" w:hAnsi="宋体" w:eastAsia="宋体" w:cs="宋体"/>
          <w:sz w:val="28"/>
          <w:szCs w:val="28"/>
        </w:rPr>
        <w:t>经甲方发函警告后7日内仍未提交的，将其录入学校黑名单库，3年内禁止参加学校任何招投标活动。</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对所报的工程结算资料真实性、完整性、合法性、合格性负责。工程结算资料报送学校委托的审核机构后，审核过程中不得补充新增签证项目。不规范、不完善的工程结算资料，乙方自接到完善资料通知10日内一次性完善。</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4.工程质保期内出现质量问题，及时修复，修复完成后，后勤管理处会同使用部门再次进行验收，验收合格后，质保期顺延一年；一年内无质量问题后退还质保金，如再次出现问题，处理方式同前。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5.对于重复出现三次及以上的问题，甲方将发函警告乙方，将其录入学校黑名单库，3年内禁止参加学校任何招投标活动。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九、其他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1.本合同未尽事宜由双方协商解决，如协商不成，双方同意将本合同引起的争议提交工程所在地人民法院诉讼解决。</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2.本合同未尽事宜，遵照合同、建筑等法律法规有关条文执行。</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3.本协议壹式</w:t>
      </w:r>
      <w:r>
        <w:rPr>
          <w:rFonts w:hint="eastAsia" w:ascii="宋体" w:hAnsi="宋体" w:eastAsia="宋体" w:cs="宋体"/>
          <w:sz w:val="28"/>
          <w:szCs w:val="28"/>
          <w:u w:val="single"/>
        </w:rPr>
        <w:t>捌</w:t>
      </w:r>
      <w:r>
        <w:rPr>
          <w:rFonts w:hint="eastAsia" w:ascii="宋体" w:hAnsi="宋体" w:eastAsia="宋体" w:cs="宋体"/>
          <w:sz w:val="28"/>
          <w:szCs w:val="28"/>
        </w:rPr>
        <w:t>份，均具有同等法律效力，甲方执</w:t>
      </w:r>
      <w:r>
        <w:rPr>
          <w:rFonts w:hint="eastAsia" w:ascii="宋体" w:hAnsi="宋体" w:eastAsia="宋体" w:cs="宋体"/>
          <w:sz w:val="28"/>
          <w:szCs w:val="28"/>
          <w:u w:val="single"/>
        </w:rPr>
        <w:t>伍</w:t>
      </w:r>
      <w:r>
        <w:rPr>
          <w:rFonts w:hint="eastAsia" w:ascii="宋体" w:hAnsi="宋体" w:eastAsia="宋体" w:cs="宋体"/>
          <w:sz w:val="28"/>
          <w:szCs w:val="28"/>
        </w:rPr>
        <w:t>份，乙方执</w:t>
      </w:r>
      <w:r>
        <w:rPr>
          <w:rFonts w:hint="eastAsia" w:ascii="宋体" w:hAnsi="宋体" w:eastAsia="宋体" w:cs="宋体"/>
          <w:sz w:val="28"/>
          <w:szCs w:val="28"/>
          <w:u w:val="single"/>
        </w:rPr>
        <w:t>叁</w:t>
      </w:r>
      <w:r>
        <w:rPr>
          <w:rFonts w:hint="eastAsia" w:ascii="宋体" w:hAnsi="宋体" w:eastAsia="宋体" w:cs="宋体"/>
          <w:sz w:val="28"/>
          <w:szCs w:val="28"/>
        </w:rPr>
        <w:t>份，甲、乙双方法定代表人或其委托代理人签字盖章后生效。</w:t>
      </w:r>
    </w:p>
    <w:p>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十、合同订立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1.合同订立时间：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pPr>
        <w:widowControl/>
        <w:ind w:firstLine="560" w:firstLineChars="200"/>
        <w:jc w:val="left"/>
        <w:rPr>
          <w:rFonts w:ascii="宋体" w:hAnsi="宋体" w:eastAsia="宋体" w:cs="宋体"/>
          <w:sz w:val="28"/>
          <w:szCs w:val="28"/>
        </w:rPr>
      </w:pPr>
      <w:r>
        <w:rPr>
          <w:rFonts w:hint="eastAsia" w:ascii="宋体" w:hAnsi="宋体" w:eastAsia="宋体" w:cs="宋体"/>
          <w:sz w:val="28"/>
          <w:szCs w:val="28"/>
        </w:rPr>
        <w:t>2.合同订立地点：皖南医学院滨江校区。</w:t>
      </w:r>
      <w:r>
        <w:rPr>
          <w:rFonts w:ascii="宋体" w:hAnsi="宋体" w:eastAsia="宋体" w:cs="宋体"/>
          <w:sz w:val="28"/>
          <w:szCs w:val="28"/>
        </w:rPr>
        <w:br w:type="page"/>
      </w:r>
    </w:p>
    <w:p>
      <w:pPr>
        <w:spacing w:line="360" w:lineRule="auto"/>
        <w:ind w:firstLine="560" w:firstLineChars="200"/>
        <w:rPr>
          <w:rFonts w:ascii="宋体" w:hAnsi="宋体" w:eastAsia="宋体" w:cs="宋体"/>
          <w:sz w:val="28"/>
          <w:szCs w:val="28"/>
        </w:rPr>
      </w:pPr>
    </w:p>
    <w:tbl>
      <w:tblPr>
        <w:tblStyle w:val="28"/>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0"/>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500" w:type="dxa"/>
            <w:vAlign w:val="center"/>
          </w:tcPr>
          <w:p>
            <w:pPr>
              <w:spacing w:line="360" w:lineRule="auto"/>
              <w:rPr>
                <w:rFonts w:ascii="宋体" w:hAnsi="宋体" w:eastAsia="宋体" w:cs="宋体"/>
                <w:spacing w:val="-6"/>
                <w:sz w:val="28"/>
                <w:szCs w:val="28"/>
              </w:rPr>
            </w:pPr>
            <w:r>
              <w:rPr>
                <w:rFonts w:ascii="宋体" w:hAnsi="宋体" w:eastAsia="宋体" w:cs="宋体"/>
                <w:sz w:val="28"/>
                <w:szCs w:val="28"/>
              </w:rPr>
              <w:br w:type="page"/>
            </w:r>
            <w:r>
              <w:rPr>
                <w:rFonts w:hint="eastAsia" w:ascii="宋体" w:hAnsi="宋体" w:eastAsia="宋体" w:cs="宋体"/>
                <w:spacing w:val="-6"/>
                <w:sz w:val="28"/>
                <w:szCs w:val="28"/>
              </w:rPr>
              <w:t>甲方：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乙方：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地址：芜湖市弋江区文昌西路22号</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邮编：241002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电话：0553-3932598</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w:t>
            </w:r>
            <w:r>
              <w:rPr>
                <w:rFonts w:hint="eastAsia" w:ascii="宋体" w:hAnsi="宋体" w:eastAsia="宋体" w:cs="宋体"/>
                <w:spacing w:val="-6"/>
                <w:sz w:val="28"/>
                <w:szCs w:val="28"/>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开户银行：中国建设银行芜湖市分行中山路支行</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 xml:space="preserve">开户银行：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帐号：34001672208050139762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w:t>
            </w:r>
          </w:p>
        </w:tc>
      </w:tr>
    </w:tbl>
    <w:p>
      <w:pPr>
        <w:spacing w:line="360" w:lineRule="auto"/>
        <w:rPr>
          <w:rFonts w:ascii="宋体" w:hAnsi="宋体" w:eastAsia="宋体" w:cs="Times New Roman"/>
          <w:sz w:val="28"/>
          <w:szCs w:val="28"/>
        </w:rPr>
      </w:pPr>
    </w:p>
    <w:p>
      <w:pPr>
        <w:pStyle w:val="21"/>
        <w:rPr>
          <w:rFonts w:hint="eastAsia"/>
        </w:rPr>
      </w:pPr>
    </w:p>
    <w:p>
      <w:pPr>
        <w:pStyle w:val="21"/>
        <w:rPr>
          <w:rFonts w:hint="eastAsia"/>
        </w:rPr>
      </w:pPr>
    </w:p>
    <w:p>
      <w:pPr>
        <w:pStyle w:val="21"/>
        <w:ind w:left="0" w:leftChars="0" w:firstLine="0" w:firstLineChars="0"/>
        <w:rPr>
          <w:rFonts w:hint="eastAsia"/>
        </w:rPr>
      </w:pPr>
    </w:p>
    <w:p>
      <w:pPr>
        <w:pStyle w:val="21"/>
        <w:ind w:left="0" w:leftChars="0" w:firstLine="0" w:firstLineChars="0"/>
        <w:rPr>
          <w:rFonts w:hint="eastAsia"/>
        </w:rPr>
      </w:pPr>
    </w:p>
    <w:p>
      <w:pPr>
        <w:pStyle w:val="21"/>
        <w:ind w:left="0" w:leftChars="0" w:firstLine="0" w:firstLineChars="0"/>
        <w:rPr>
          <w:rFonts w:hint="eastAsia"/>
        </w:rPr>
      </w:pPr>
    </w:p>
    <w:p>
      <w:pPr>
        <w:pStyle w:val="21"/>
        <w:ind w:left="0" w:leftChars="0" w:firstLine="0" w:firstLineChars="0"/>
        <w:rPr>
          <w:rFonts w:hint="eastAsia"/>
        </w:rPr>
      </w:pPr>
    </w:p>
    <w:p>
      <w:pPr>
        <w:pStyle w:val="21"/>
        <w:rPr>
          <w:rFonts w:hint="eastAsia"/>
        </w:rPr>
      </w:pPr>
    </w:p>
    <w:p>
      <w:pPr>
        <w:pStyle w:val="3"/>
        <w:numPr>
          <w:ilvl w:val="0"/>
          <w:numId w:val="2"/>
        </w:numPr>
        <w:snapToGrid w:val="0"/>
        <w:spacing w:before="0" w:after="0"/>
        <w:ind w:left="947" w:leftChars="0" w:hanging="947" w:firstLineChars="0"/>
        <w:jc w:val="center"/>
        <w:rPr>
          <w:rFonts w:hint="eastAsia" w:ascii="宋体" w:hAnsi="宋体" w:eastAsia="宋体" w:cs="宋体"/>
          <w:bCs w:val="0"/>
          <w:color w:val="auto"/>
        </w:rPr>
      </w:pPr>
      <w:bookmarkStart w:id="109" w:name="_Toc49763003"/>
      <w:r>
        <w:rPr>
          <w:rFonts w:hint="eastAsia" w:ascii="宋体" w:hAnsi="宋体" w:eastAsia="宋体" w:cs="宋体"/>
          <w:bCs w:val="0"/>
          <w:color w:val="auto"/>
        </w:rPr>
        <w:t xml:space="preserve"> 项目需求</w:t>
      </w:r>
      <w:bookmarkEnd w:id="109"/>
    </w:p>
    <w:p>
      <w:pPr>
        <w:spacing w:line="500" w:lineRule="exact"/>
        <w:jc w:val="center"/>
        <w:rPr>
          <w:rFonts w:hint="eastAsia" w:asciiTheme="minorEastAsia" w:hAnsiTheme="minorEastAsia" w:eastAsiaTheme="minorEastAsia"/>
          <w:sz w:val="28"/>
          <w:szCs w:val="28"/>
        </w:rPr>
      </w:pPr>
    </w:p>
    <w:p>
      <w:pPr>
        <w:spacing w:line="500" w:lineRule="exact"/>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材料品牌参考范围</w:t>
      </w:r>
    </w:p>
    <w:tbl>
      <w:tblPr>
        <w:tblStyle w:val="29"/>
        <w:tblpPr w:leftFromText="180" w:rightFromText="180" w:vertAnchor="text" w:horzAnchor="page" w:tblpX="1800" w:tblpY="1213"/>
        <w:tblOverlap w:val="never"/>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1374"/>
        <w:gridCol w:w="2976"/>
        <w:gridCol w:w="3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61" w:type="dxa"/>
            <w:vAlign w:val="center"/>
          </w:tcPr>
          <w:p>
            <w:pPr>
              <w:spacing w:line="360" w:lineRule="auto"/>
              <w:jc w:val="center"/>
              <w:rPr>
                <w:rFonts w:ascii="宋体" w:hAnsi="宋体" w:eastAsia="宋体" w:cs="宋体"/>
                <w:bCs/>
                <w:kern w:val="0"/>
                <w:sz w:val="28"/>
                <w:szCs w:val="28"/>
              </w:rPr>
            </w:pPr>
            <w:bookmarkStart w:id="110" w:name="_Toc49763004"/>
            <w:r>
              <w:rPr>
                <w:rFonts w:hint="eastAsia" w:ascii="宋体" w:hAnsi="宋体" w:eastAsia="宋体" w:cs="宋体"/>
                <w:bCs/>
                <w:kern w:val="0"/>
                <w:sz w:val="28"/>
                <w:szCs w:val="28"/>
              </w:rPr>
              <w:t>序号</w:t>
            </w:r>
          </w:p>
        </w:tc>
        <w:tc>
          <w:tcPr>
            <w:tcW w:w="1374"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材料名称</w:t>
            </w:r>
          </w:p>
        </w:tc>
        <w:tc>
          <w:tcPr>
            <w:tcW w:w="2976"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品牌范围</w:t>
            </w:r>
          </w:p>
        </w:tc>
        <w:tc>
          <w:tcPr>
            <w:tcW w:w="3347"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1</w:t>
            </w:r>
          </w:p>
        </w:tc>
        <w:tc>
          <w:tcPr>
            <w:tcW w:w="1374"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涂料</w:t>
            </w:r>
          </w:p>
        </w:tc>
        <w:tc>
          <w:tcPr>
            <w:tcW w:w="2976"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多乐士、立邦、嘉宝莉</w:t>
            </w:r>
          </w:p>
        </w:tc>
        <w:tc>
          <w:tcPr>
            <w:tcW w:w="3347" w:type="dxa"/>
            <w:vAlign w:val="center"/>
          </w:tcPr>
          <w:p>
            <w:pPr>
              <w:pStyle w:val="71"/>
              <w:spacing w:line="500" w:lineRule="exact"/>
              <w:jc w:val="lef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底漆和面漆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61" w:type="dxa"/>
            <w:vAlign w:val="center"/>
          </w:tcPr>
          <w:p>
            <w:pPr>
              <w:pStyle w:val="71"/>
              <w:spacing w:line="500" w:lineRule="exact"/>
              <w:rPr>
                <w:rFonts w:asciiTheme="minorEastAsia" w:hAnsiTheme="minorEastAsia" w:eastAsiaTheme="minorEastAsia"/>
                <w:b w:val="0"/>
                <w:kern w:val="0"/>
                <w:sz w:val="28"/>
                <w:szCs w:val="28"/>
              </w:rPr>
            </w:pPr>
            <w:r>
              <w:rPr>
                <w:rFonts w:asciiTheme="minorEastAsia" w:hAnsiTheme="minorEastAsia" w:eastAsiaTheme="minorEastAsia"/>
                <w:b w:val="0"/>
                <w:kern w:val="0"/>
                <w:sz w:val="28"/>
                <w:szCs w:val="28"/>
              </w:rPr>
              <w:t>2</w:t>
            </w:r>
          </w:p>
        </w:tc>
        <w:tc>
          <w:tcPr>
            <w:tcW w:w="1374"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灯具</w:t>
            </w:r>
          </w:p>
        </w:tc>
        <w:tc>
          <w:tcPr>
            <w:tcW w:w="2976"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欧普、雷士（非旗下）、飞利浦</w:t>
            </w:r>
          </w:p>
        </w:tc>
        <w:tc>
          <w:tcPr>
            <w:tcW w:w="3347" w:type="dxa"/>
            <w:vAlign w:val="center"/>
          </w:tcPr>
          <w:p>
            <w:pPr>
              <w:pStyle w:val="71"/>
              <w:spacing w:line="500" w:lineRule="exact"/>
              <w:jc w:val="lef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3</w:t>
            </w:r>
            <w:r>
              <w:rPr>
                <w:rFonts w:asciiTheme="minorEastAsia" w:hAnsiTheme="minorEastAsia" w:eastAsiaTheme="minorEastAsia"/>
                <w:b w:val="0"/>
                <w:kern w:val="0"/>
                <w:sz w:val="28"/>
                <w:szCs w:val="28"/>
              </w:rPr>
              <w:t>00*300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pStyle w:val="71"/>
              <w:spacing w:line="500" w:lineRule="exact"/>
              <w:rPr>
                <w:rFonts w:asciiTheme="minorEastAsia" w:hAnsiTheme="minorEastAsia" w:eastAsiaTheme="minorEastAsia"/>
                <w:b w:val="0"/>
                <w:kern w:val="0"/>
                <w:sz w:val="28"/>
                <w:szCs w:val="28"/>
              </w:rPr>
            </w:pPr>
            <w:r>
              <w:rPr>
                <w:rFonts w:asciiTheme="minorEastAsia" w:hAnsiTheme="minorEastAsia" w:eastAsiaTheme="minorEastAsia"/>
                <w:b w:val="0"/>
                <w:kern w:val="0"/>
                <w:sz w:val="28"/>
                <w:szCs w:val="28"/>
              </w:rPr>
              <w:t>3</w:t>
            </w:r>
          </w:p>
        </w:tc>
        <w:tc>
          <w:tcPr>
            <w:tcW w:w="1374"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铝板吊顶</w:t>
            </w:r>
          </w:p>
        </w:tc>
        <w:tc>
          <w:tcPr>
            <w:tcW w:w="2976"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奥普、欧曼、奥华</w:t>
            </w:r>
          </w:p>
        </w:tc>
        <w:tc>
          <w:tcPr>
            <w:tcW w:w="3347" w:type="dxa"/>
            <w:vAlign w:val="center"/>
          </w:tcPr>
          <w:p>
            <w:pPr>
              <w:pStyle w:val="71"/>
              <w:spacing w:line="500" w:lineRule="exact"/>
              <w:jc w:val="lef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300*300铝板，厚度不小于0.6mm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4</w:t>
            </w:r>
          </w:p>
        </w:tc>
        <w:tc>
          <w:tcPr>
            <w:tcW w:w="1374"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钢质门</w:t>
            </w:r>
          </w:p>
        </w:tc>
        <w:tc>
          <w:tcPr>
            <w:tcW w:w="2976"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盼盼、步阳、王力</w:t>
            </w:r>
          </w:p>
        </w:tc>
        <w:tc>
          <w:tcPr>
            <w:tcW w:w="3347" w:type="dxa"/>
            <w:vAlign w:val="center"/>
          </w:tcPr>
          <w:p>
            <w:pPr>
              <w:pStyle w:val="71"/>
              <w:spacing w:line="500" w:lineRule="exact"/>
              <w:jc w:val="left"/>
              <w:rPr>
                <w:rFonts w:asciiTheme="minorEastAsia" w:hAnsiTheme="minorEastAsia" w:eastAsiaTheme="minorEastAsia"/>
                <w:b w:val="0"/>
                <w:kern w:val="0"/>
                <w:sz w:val="21"/>
                <w:szCs w:val="21"/>
              </w:rPr>
            </w:pPr>
            <w:r>
              <w:rPr>
                <w:rFonts w:hint="eastAsia" w:asciiTheme="minorEastAsia" w:hAnsiTheme="minorEastAsia" w:eastAsiaTheme="minorEastAsia"/>
                <w:b w:val="0"/>
                <w:kern w:val="0"/>
                <w:sz w:val="21"/>
                <w:szCs w:val="21"/>
              </w:rPr>
              <w:t>烤漆，颜色待定，双面插销，前板厚度不小于0.8mm，后板厚度不小于0.8mm，门框板材厚度不小于1.5mm，门扇厚度不小于5cm，门框材质同门扇，门槛为不锈钢材质，厚度不小于1.5mm，铰链采用明铰链，需配3副铰链，蜂窝纸填充。样式参照原钢质门，含门牌。</w:t>
            </w:r>
          </w:p>
        </w:tc>
      </w:tr>
    </w:tbl>
    <w:p>
      <w:pPr>
        <w:pStyle w:val="3"/>
        <w:snapToGrid w:val="0"/>
        <w:spacing w:before="0" w:after="0"/>
        <w:ind w:left="0" w:leftChars="0" w:firstLine="0" w:firstLineChars="0"/>
        <w:jc w:val="both"/>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both"/>
        <w:rPr>
          <w:rFonts w:hint="eastAsia" w:asciiTheme="majorEastAsia" w:hAnsiTheme="majorEastAsia" w:eastAsiaTheme="majorEastAsia" w:cstheme="majorEastAsia"/>
          <w:color w:val="auto"/>
        </w:rPr>
      </w:pPr>
    </w:p>
    <w:p>
      <w:pPr>
        <w:rPr>
          <w:rFonts w:hint="eastAsia" w:asciiTheme="majorEastAsia" w:hAnsiTheme="majorEastAsia" w:eastAsiaTheme="majorEastAsia" w:cstheme="majorEastAsia"/>
          <w:color w:val="auto"/>
        </w:rPr>
      </w:pPr>
    </w:p>
    <w:p>
      <w:pPr>
        <w:pStyle w:val="24"/>
        <w:rPr>
          <w:rFonts w:hint="eastAsia" w:asciiTheme="majorEastAsia" w:hAnsiTheme="majorEastAsia" w:eastAsiaTheme="majorEastAsia" w:cstheme="majorEastAsia"/>
          <w:color w:val="auto"/>
        </w:rPr>
      </w:pPr>
    </w:p>
    <w:p>
      <w:pPr>
        <w:pStyle w:val="24"/>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center"/>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center"/>
        <w:rPr>
          <w:rFonts w:ascii="楷体" w:hAnsi="楷体" w:eastAsia="楷体"/>
          <w:szCs w:val="28"/>
        </w:rPr>
      </w:pPr>
      <w:r>
        <w:rPr>
          <w:rFonts w:hint="eastAsia" w:asciiTheme="majorEastAsia" w:hAnsiTheme="majorEastAsia" w:eastAsiaTheme="majorEastAsia" w:cstheme="majorEastAsia"/>
          <w:color w:val="auto"/>
        </w:rPr>
        <w:t>第六章  评分办法和评分细则</w:t>
      </w:r>
      <w:bookmarkEnd w:id="110"/>
    </w:p>
    <w:p>
      <w:pPr>
        <w:spacing w:line="360" w:lineRule="auto"/>
        <w:rPr>
          <w:rFonts w:ascii="宋体" w:hAnsi="宋体" w:cs="宋体"/>
          <w:b/>
          <w:color w:val="000000"/>
          <w:sz w:val="24"/>
        </w:rPr>
      </w:pPr>
      <w:bookmarkStart w:id="111" w:name="_Toc49763005"/>
      <w:r>
        <w:rPr>
          <w:rFonts w:hint="eastAsia" w:ascii="宋体" w:hAnsi="宋体" w:cs="宋体"/>
          <w:b/>
          <w:color w:val="000000"/>
          <w:sz w:val="24"/>
        </w:rPr>
        <w:t>一、评审方法和标准</w:t>
      </w:r>
    </w:p>
    <w:p>
      <w:pPr>
        <w:spacing w:line="360" w:lineRule="auto"/>
        <w:rPr>
          <w:rFonts w:ascii="宋体" w:hAnsi="宋体" w:cs="宋体"/>
          <w:b/>
          <w:color w:val="000000"/>
          <w:sz w:val="24"/>
        </w:rPr>
      </w:pPr>
      <w:r>
        <w:rPr>
          <w:rFonts w:hint="eastAsia" w:ascii="宋体" w:hAnsi="宋体" w:cs="宋体"/>
          <w:b/>
          <w:color w:val="000000"/>
          <w:sz w:val="24"/>
        </w:rPr>
        <w:t>（一）评审方法</w:t>
      </w:r>
    </w:p>
    <w:p>
      <w:pPr>
        <w:spacing w:line="360" w:lineRule="auto"/>
        <w:ind w:firstLine="480" w:firstLineChars="200"/>
        <w:rPr>
          <w:rFonts w:ascii="宋体" w:hAnsi="宋体" w:cs="宋体"/>
          <w:color w:val="000000"/>
          <w:sz w:val="24"/>
        </w:rPr>
      </w:pPr>
      <w:r>
        <w:rPr>
          <w:rFonts w:hint="eastAsia" w:ascii="宋体" w:hAnsi="宋体" w:cs="宋体"/>
          <w:color w:val="000000"/>
          <w:sz w:val="24"/>
        </w:rPr>
        <w:t>1、本项目采用综合评分法，总分100分。综合评分法是指响应文件满足竞争性磋商文件全部实质性要求且按评审因素的量化指标评审得分最高的供应商为成交候选供应商的方法。</w:t>
      </w:r>
    </w:p>
    <w:p>
      <w:pPr>
        <w:spacing w:line="360" w:lineRule="auto"/>
        <w:ind w:firstLine="480" w:firstLineChars="200"/>
        <w:rPr>
          <w:rFonts w:ascii="宋体" w:hAnsi="宋体" w:cs="宋体"/>
          <w:color w:val="000000"/>
          <w:sz w:val="24"/>
        </w:rPr>
      </w:pPr>
      <w:r>
        <w:rPr>
          <w:rFonts w:hint="eastAsia" w:ascii="宋体" w:hAnsi="宋体" w:cs="宋体"/>
          <w:color w:val="000000"/>
          <w:sz w:val="24"/>
        </w:rPr>
        <w:t>2、磋商小组按照磋商文件的要求和条件，根据各磋商供应商的技术、商务、价格、对磋商文件的响应程度等进行综合评价、评分，将评审总得分按照从高到低的顺序排列，并依此顺序推荐2名成交候选供应商。排名第一的为首选成交候选人，排名第二为第二成交候选人。</w:t>
      </w:r>
    </w:p>
    <w:p>
      <w:pPr>
        <w:spacing w:line="360" w:lineRule="auto"/>
        <w:ind w:firstLine="480" w:firstLineChars="200"/>
        <w:rPr>
          <w:rFonts w:ascii="宋体" w:hAnsi="宋体" w:cs="宋体"/>
          <w:color w:val="000000"/>
          <w:sz w:val="24"/>
        </w:rPr>
      </w:pPr>
      <w:r>
        <w:rPr>
          <w:rFonts w:hint="eastAsia" w:ascii="宋体" w:hAnsi="宋体" w:cs="宋体"/>
          <w:color w:val="000000"/>
          <w:sz w:val="24"/>
        </w:rPr>
        <w:t>3、做无效响应处理的供应商响应文件不参与各项评分。</w:t>
      </w:r>
    </w:p>
    <w:p>
      <w:pPr>
        <w:spacing w:line="360" w:lineRule="auto"/>
        <w:ind w:firstLine="480" w:firstLineChars="200"/>
        <w:rPr>
          <w:rFonts w:ascii="宋体" w:hAnsi="宋体" w:cs="宋体"/>
          <w:color w:val="000000"/>
          <w:sz w:val="24"/>
        </w:rPr>
      </w:pPr>
      <w:r>
        <w:rPr>
          <w:rFonts w:hint="eastAsia" w:ascii="宋体" w:hAnsi="宋体" w:cs="宋体"/>
          <w:color w:val="000000"/>
          <w:sz w:val="24"/>
        </w:rPr>
        <w:t>4、例外情况</w:t>
      </w:r>
    </w:p>
    <w:p>
      <w:pPr>
        <w:spacing w:line="360" w:lineRule="auto"/>
        <w:ind w:firstLine="480" w:firstLineChars="200"/>
        <w:rPr>
          <w:rFonts w:ascii="宋体" w:hAnsi="宋体" w:cs="宋体"/>
          <w:color w:val="000000"/>
          <w:sz w:val="24"/>
        </w:rPr>
      </w:pPr>
      <w:r>
        <w:rPr>
          <w:rFonts w:hint="eastAsia" w:ascii="宋体" w:hAnsi="宋体" w:cs="宋体"/>
          <w:color w:val="000000"/>
          <w:sz w:val="24"/>
        </w:rPr>
        <w:t>（1）评审总得分相同的，按最后报价由低到高的顺序排序；依然相同的，由磋商小组现场抽签确定顺序。</w:t>
      </w:r>
    </w:p>
    <w:p>
      <w:pPr>
        <w:spacing w:line="360" w:lineRule="auto"/>
        <w:ind w:firstLine="480" w:firstLineChars="200"/>
        <w:rPr>
          <w:rFonts w:ascii="宋体" w:hAnsi="宋体" w:cs="宋体"/>
          <w:color w:val="000000"/>
          <w:sz w:val="24"/>
        </w:rPr>
      </w:pPr>
      <w:r>
        <w:rPr>
          <w:rFonts w:hint="eastAsia" w:ascii="宋体" w:hAnsi="宋体" w:cs="宋体"/>
          <w:color w:val="000000"/>
          <w:sz w:val="24"/>
        </w:rPr>
        <w:t>（2）磋商文件条款存在含义不清或者相互矛盾的，磋商小组应当针对相应条款作出有利于相应供应商的结论。</w:t>
      </w:r>
    </w:p>
    <w:p>
      <w:pPr>
        <w:rPr>
          <w:rFonts w:ascii="Times New Roman" w:hAnsi="Times New Roman" w:eastAsia="宋体"/>
          <w:b/>
          <w:sz w:val="24"/>
          <w:szCs w:val="24"/>
        </w:rPr>
      </w:pPr>
      <w:r>
        <w:rPr>
          <w:rFonts w:hint="eastAsia" w:ascii="Times New Roman" w:hAnsi="Times New Roman" w:eastAsia="宋体"/>
          <w:b/>
          <w:sz w:val="24"/>
          <w:szCs w:val="24"/>
        </w:rPr>
        <w:t>二、评标办法</w:t>
      </w:r>
    </w:p>
    <w:p>
      <w:pPr>
        <w:ind w:firstLine="480" w:firstLineChars="200"/>
        <w:rPr>
          <w:rFonts w:ascii="Times New Roman" w:hAnsi="Times New Roman" w:eastAsia="宋体"/>
          <w:sz w:val="24"/>
          <w:szCs w:val="24"/>
        </w:rPr>
      </w:pPr>
      <w:r>
        <w:rPr>
          <w:rFonts w:ascii="Times New Roman" w:hAnsi="Times New Roman" w:eastAsia="宋体"/>
          <w:sz w:val="24"/>
          <w:szCs w:val="24"/>
        </w:rPr>
        <w:t>1</w:t>
      </w:r>
      <w:r>
        <w:rPr>
          <w:rFonts w:hint="eastAsia" w:ascii="Times New Roman" w:hAnsi="Times New Roman" w:eastAsia="宋体"/>
          <w:sz w:val="24"/>
          <w:szCs w:val="24"/>
        </w:rPr>
        <w:t>.</w:t>
      </w:r>
      <w:r>
        <w:rPr>
          <w:rFonts w:ascii="Times New Roman" w:hAnsi="Times New Roman" w:eastAsia="宋体"/>
          <w:sz w:val="24"/>
          <w:szCs w:val="24"/>
        </w:rPr>
        <w:t>商务标评审内容及标准（</w:t>
      </w:r>
      <w:r>
        <w:rPr>
          <w:rFonts w:hint="eastAsia" w:ascii="Times New Roman" w:hAnsi="Times New Roman" w:eastAsia="宋体"/>
          <w:sz w:val="24"/>
          <w:szCs w:val="24"/>
        </w:rPr>
        <w:t>50</w:t>
      </w:r>
      <w:r>
        <w:rPr>
          <w:rFonts w:ascii="Times New Roman" w:hAnsi="Times New Roman" w:eastAsia="宋体"/>
          <w:sz w:val="24"/>
          <w:szCs w:val="24"/>
        </w:rPr>
        <w:t>分）</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992"/>
        <w:gridCol w:w="6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tcPr>
          <w:p>
            <w:pPr>
              <w:rPr>
                <w:rFonts w:ascii="Times New Roman" w:hAnsi="Times New Roman" w:eastAsia="宋体"/>
                <w:sz w:val="24"/>
                <w:szCs w:val="24"/>
              </w:rPr>
            </w:pPr>
            <w:r>
              <w:rPr>
                <w:rFonts w:ascii="Times New Roman" w:hAnsi="Times New Roman" w:eastAsia="宋体"/>
                <w:sz w:val="24"/>
                <w:szCs w:val="24"/>
              </w:rPr>
              <w:t>评审项目</w:t>
            </w:r>
          </w:p>
        </w:tc>
        <w:tc>
          <w:tcPr>
            <w:tcW w:w="992" w:type="dxa"/>
          </w:tcPr>
          <w:p>
            <w:pPr>
              <w:rPr>
                <w:rFonts w:ascii="Times New Roman" w:hAnsi="Times New Roman" w:eastAsia="宋体"/>
                <w:sz w:val="24"/>
                <w:szCs w:val="24"/>
              </w:rPr>
            </w:pPr>
            <w:r>
              <w:rPr>
                <w:rFonts w:ascii="Times New Roman" w:hAnsi="Times New Roman" w:eastAsia="宋体"/>
                <w:sz w:val="24"/>
                <w:szCs w:val="24"/>
              </w:rPr>
              <w:t>分值</w:t>
            </w:r>
          </w:p>
        </w:tc>
        <w:tc>
          <w:tcPr>
            <w:tcW w:w="6033" w:type="dxa"/>
          </w:tcPr>
          <w:p>
            <w:pPr>
              <w:rPr>
                <w:rFonts w:ascii="Times New Roman" w:hAnsi="Times New Roman" w:eastAsia="宋体"/>
                <w:sz w:val="24"/>
                <w:szCs w:val="24"/>
              </w:rPr>
            </w:pPr>
            <w:r>
              <w:rPr>
                <w:rFonts w:ascii="Times New Roman" w:hAnsi="Times New Roman" w:eastAsia="宋体"/>
                <w:sz w:val="24"/>
                <w:szCs w:val="24"/>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tcPr>
          <w:p>
            <w:pPr>
              <w:rPr>
                <w:rFonts w:ascii="Times New Roman" w:hAnsi="Times New Roman" w:eastAsia="宋体"/>
                <w:sz w:val="24"/>
                <w:szCs w:val="24"/>
              </w:rPr>
            </w:pPr>
            <w:r>
              <w:rPr>
                <w:rFonts w:ascii="Times New Roman" w:hAnsi="Times New Roman" w:eastAsia="宋体"/>
                <w:sz w:val="24"/>
                <w:szCs w:val="24"/>
              </w:rPr>
              <w:t>投标报价</w:t>
            </w:r>
          </w:p>
        </w:tc>
        <w:tc>
          <w:tcPr>
            <w:tcW w:w="992" w:type="dxa"/>
          </w:tcPr>
          <w:p>
            <w:pPr>
              <w:rPr>
                <w:rFonts w:ascii="Times New Roman" w:hAnsi="Times New Roman" w:eastAsia="宋体"/>
                <w:sz w:val="24"/>
                <w:szCs w:val="24"/>
              </w:rPr>
            </w:pPr>
            <w:r>
              <w:rPr>
                <w:rFonts w:hint="eastAsia" w:ascii="Times New Roman" w:hAnsi="Times New Roman" w:eastAsia="宋体"/>
                <w:sz w:val="24"/>
                <w:szCs w:val="24"/>
              </w:rPr>
              <w:t>50</w:t>
            </w:r>
            <w:r>
              <w:rPr>
                <w:rFonts w:ascii="Times New Roman" w:hAnsi="Times New Roman" w:eastAsia="宋体"/>
                <w:sz w:val="24"/>
                <w:szCs w:val="24"/>
              </w:rPr>
              <w:t>分</w:t>
            </w:r>
          </w:p>
        </w:tc>
        <w:tc>
          <w:tcPr>
            <w:tcW w:w="6033" w:type="dxa"/>
          </w:tcPr>
          <w:p>
            <w:pPr>
              <w:rPr>
                <w:rFonts w:ascii="Times New Roman" w:hAnsi="Times New Roman" w:eastAsia="宋体"/>
                <w:sz w:val="24"/>
                <w:szCs w:val="24"/>
              </w:rPr>
            </w:pPr>
            <w:r>
              <w:rPr>
                <w:rFonts w:hint="eastAsia" w:ascii="Times New Roman" w:hAnsi="Times New Roman" w:eastAsia="宋体"/>
                <w:sz w:val="24"/>
                <w:szCs w:val="24"/>
              </w:rPr>
              <w:t>满足招标文件要求且投标价格最低的投标报价为评标基准价，其价格分为满分。其他投标人的价格分统一按照下列公式计算：投标报价得分</w:t>
            </w:r>
            <w:r>
              <w:rPr>
                <w:rFonts w:ascii="Times New Roman" w:hAnsi="Times New Roman" w:eastAsia="宋体"/>
                <w:sz w:val="24"/>
                <w:szCs w:val="24"/>
              </w:rPr>
              <w:t>=(评标基准价／投标报价)×</w:t>
            </w:r>
            <w:r>
              <w:rPr>
                <w:rFonts w:hint="eastAsia" w:ascii="Times New Roman" w:hAnsi="Times New Roman" w:eastAsia="宋体"/>
                <w:sz w:val="24"/>
                <w:szCs w:val="24"/>
              </w:rPr>
              <w:t>5</w:t>
            </w:r>
            <w:r>
              <w:rPr>
                <w:rFonts w:ascii="Times New Roman" w:hAnsi="Times New Roman" w:eastAsia="宋体"/>
                <w:sz w:val="24"/>
                <w:szCs w:val="24"/>
              </w:rPr>
              <w:t>0。</w:t>
            </w:r>
          </w:p>
        </w:tc>
      </w:tr>
    </w:tbl>
    <w:p>
      <w:pPr>
        <w:ind w:firstLine="480" w:firstLineChars="200"/>
        <w:rPr>
          <w:rFonts w:ascii="Times New Roman" w:hAnsi="Times New Roman" w:eastAsia="宋体"/>
          <w:sz w:val="24"/>
          <w:szCs w:val="24"/>
        </w:rPr>
      </w:pPr>
      <w:r>
        <w:rPr>
          <w:rFonts w:ascii="Times New Roman" w:hAnsi="Times New Roman" w:eastAsia="宋体"/>
          <w:sz w:val="24"/>
          <w:szCs w:val="24"/>
        </w:rPr>
        <w:t>2.技术标评审内容及标准（</w:t>
      </w:r>
      <w:r>
        <w:rPr>
          <w:rFonts w:hint="eastAsia" w:ascii="Times New Roman" w:hAnsi="Times New Roman" w:eastAsia="宋体"/>
          <w:sz w:val="24"/>
          <w:szCs w:val="24"/>
        </w:rPr>
        <w:t>50</w:t>
      </w:r>
      <w:r>
        <w:rPr>
          <w:rFonts w:ascii="Times New Roman" w:hAnsi="Times New Roman" w:eastAsia="宋体"/>
          <w:sz w:val="24"/>
          <w:szCs w:val="24"/>
        </w:rPr>
        <w:t>分）</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567"/>
        <w:gridCol w:w="1701"/>
        <w:gridCol w:w="1134"/>
        <w:gridCol w:w="4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14" w:type="dxa"/>
            <w:gridSpan w:val="3"/>
            <w:vAlign w:val="center"/>
          </w:tcPr>
          <w:p>
            <w:pPr>
              <w:rPr>
                <w:rFonts w:ascii="Times New Roman" w:hAnsi="Times New Roman" w:eastAsia="宋体"/>
                <w:sz w:val="24"/>
                <w:szCs w:val="24"/>
              </w:rPr>
            </w:pPr>
            <w:r>
              <w:rPr>
                <w:rFonts w:ascii="Times New Roman" w:hAnsi="Times New Roman" w:eastAsia="宋体"/>
                <w:sz w:val="24"/>
                <w:szCs w:val="24"/>
              </w:rPr>
              <w:t>评审内容</w:t>
            </w:r>
          </w:p>
        </w:tc>
        <w:tc>
          <w:tcPr>
            <w:tcW w:w="1134" w:type="dxa"/>
            <w:vAlign w:val="center"/>
          </w:tcPr>
          <w:p>
            <w:pPr>
              <w:rPr>
                <w:rFonts w:ascii="Times New Roman" w:hAnsi="Times New Roman" w:eastAsia="宋体"/>
                <w:sz w:val="24"/>
                <w:szCs w:val="24"/>
              </w:rPr>
            </w:pPr>
            <w:r>
              <w:rPr>
                <w:rFonts w:ascii="Times New Roman" w:hAnsi="Times New Roman" w:eastAsia="宋体"/>
                <w:sz w:val="24"/>
                <w:szCs w:val="24"/>
              </w:rPr>
              <w:t>分值</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审查标准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restart"/>
            <w:vAlign w:val="center"/>
          </w:tcPr>
          <w:p>
            <w:pPr>
              <w:rPr>
                <w:rFonts w:ascii="Times New Roman" w:hAnsi="Times New Roman" w:eastAsia="宋体"/>
                <w:sz w:val="24"/>
                <w:szCs w:val="24"/>
              </w:rPr>
            </w:pPr>
            <w:r>
              <w:rPr>
                <w:rFonts w:ascii="Times New Roman" w:hAnsi="Times New Roman" w:eastAsia="宋体"/>
                <w:sz w:val="24"/>
                <w:szCs w:val="24"/>
              </w:rPr>
              <w:t>技术标评审（</w:t>
            </w:r>
            <w:r>
              <w:rPr>
                <w:rFonts w:hint="eastAsia" w:ascii="Times New Roman" w:hAnsi="Times New Roman" w:eastAsia="宋体"/>
                <w:sz w:val="24"/>
                <w:szCs w:val="24"/>
              </w:rPr>
              <w:t>50</w:t>
            </w:r>
            <w:r>
              <w:rPr>
                <w:rFonts w:ascii="Times New Roman" w:hAnsi="Times New Roman" w:eastAsia="宋体"/>
                <w:sz w:val="24"/>
                <w:szCs w:val="24"/>
              </w:rPr>
              <w:t>分）</w:t>
            </w: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1</w:t>
            </w:r>
          </w:p>
        </w:tc>
        <w:tc>
          <w:tcPr>
            <w:tcW w:w="1701" w:type="dxa"/>
            <w:vAlign w:val="center"/>
          </w:tcPr>
          <w:p>
            <w:pPr>
              <w:rPr>
                <w:rFonts w:ascii="Times New Roman" w:hAnsi="Times New Roman" w:eastAsia="宋体"/>
                <w:sz w:val="24"/>
                <w:szCs w:val="24"/>
              </w:rPr>
            </w:pPr>
            <w:r>
              <w:rPr>
                <w:rFonts w:ascii="Times New Roman" w:hAnsi="Times New Roman" w:eastAsia="宋体"/>
                <w:sz w:val="24"/>
                <w:szCs w:val="24"/>
              </w:rPr>
              <w:t>施工组织机构和人员组成</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rPr>
              <w:t>8</w:t>
            </w:r>
            <w:r>
              <w:rPr>
                <w:rFonts w:ascii="Times New Roman" w:hAnsi="Times New Roman" w:eastAsia="宋体"/>
                <w:sz w:val="24"/>
                <w:szCs w:val="24"/>
              </w:rPr>
              <w:t>分</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组织机构齐全，人员配备合理。</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w:t>
            </w:r>
            <w:r>
              <w:rPr>
                <w:rFonts w:ascii="Times New Roman" w:hAnsi="Times New Roman" w:eastAsia="宋体"/>
                <w:sz w:val="24"/>
                <w:szCs w:val="24"/>
              </w:rPr>
              <w:t>分。（4）方案存在明显缺陷的，得</w:t>
            </w:r>
            <w:r>
              <w:rPr>
                <w:rFonts w:hint="eastAsia" w:ascii="Times New Roman" w:hAnsi="Times New Roman" w:eastAsia="宋体"/>
                <w:sz w:val="24"/>
                <w:szCs w:val="24"/>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2</w:t>
            </w:r>
          </w:p>
        </w:tc>
        <w:tc>
          <w:tcPr>
            <w:tcW w:w="1701" w:type="dxa"/>
            <w:vAlign w:val="center"/>
          </w:tcPr>
          <w:p>
            <w:pPr>
              <w:rPr>
                <w:rFonts w:ascii="Times New Roman" w:hAnsi="Times New Roman" w:eastAsia="宋体"/>
                <w:sz w:val="24"/>
                <w:szCs w:val="24"/>
              </w:rPr>
            </w:pPr>
            <w:r>
              <w:rPr>
                <w:rFonts w:hint="eastAsia" w:ascii="Times New Roman" w:hAnsi="Times New Roman" w:eastAsia="宋体"/>
                <w:sz w:val="24"/>
                <w:szCs w:val="24"/>
              </w:rPr>
              <w:t>资源配备计划</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rPr>
              <w:t>8分</w:t>
            </w:r>
          </w:p>
        </w:tc>
        <w:tc>
          <w:tcPr>
            <w:tcW w:w="4048" w:type="dxa"/>
            <w:vAlign w:val="center"/>
          </w:tcPr>
          <w:p>
            <w:pPr>
              <w:rPr>
                <w:rFonts w:ascii="Times New Roman" w:hAnsi="Times New Roman" w:eastAsia="宋体"/>
                <w:sz w:val="24"/>
                <w:szCs w:val="24"/>
              </w:rPr>
            </w:pPr>
            <w:r>
              <w:rPr>
                <w:rFonts w:hint="eastAsia" w:ascii="Times New Roman" w:hAnsi="Times New Roman" w:eastAsia="宋体"/>
                <w:sz w:val="24"/>
                <w:szCs w:val="24"/>
              </w:rPr>
              <w:t>拟投入的人工、主要材料、主要施工机械、设备有详细计划且计划周密，劳动力安排合理，材料进场时间、数量、批次合理，设备数量、选型配置、进场数量、时间安排合理，满足施工需要。</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w:t>
            </w:r>
            <w:r>
              <w:rPr>
                <w:rFonts w:ascii="Times New Roman" w:hAnsi="Times New Roman" w:eastAsia="宋体"/>
                <w:sz w:val="24"/>
                <w:szCs w:val="24"/>
              </w:rPr>
              <w:t>分。（4）方案存在明显缺陷的，得</w:t>
            </w:r>
            <w:r>
              <w:rPr>
                <w:rFonts w:hint="eastAsia" w:ascii="Times New Roman" w:hAnsi="Times New Roman" w:eastAsia="宋体"/>
                <w:sz w:val="24"/>
                <w:szCs w:val="24"/>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3</w:t>
            </w:r>
          </w:p>
        </w:tc>
        <w:tc>
          <w:tcPr>
            <w:tcW w:w="1701" w:type="dxa"/>
            <w:vAlign w:val="center"/>
          </w:tcPr>
          <w:p>
            <w:pPr>
              <w:rPr>
                <w:rFonts w:ascii="Times New Roman" w:hAnsi="Times New Roman" w:eastAsia="宋体"/>
                <w:sz w:val="24"/>
                <w:szCs w:val="24"/>
              </w:rPr>
            </w:pPr>
            <w:r>
              <w:rPr>
                <w:rFonts w:ascii="Times New Roman" w:hAnsi="Times New Roman" w:eastAsia="宋体"/>
                <w:sz w:val="24"/>
                <w:szCs w:val="24"/>
              </w:rPr>
              <w:t>施工进度</w:t>
            </w:r>
            <w:r>
              <w:rPr>
                <w:rFonts w:hint="eastAsia" w:ascii="Times New Roman" w:hAnsi="Times New Roman" w:eastAsia="宋体"/>
                <w:sz w:val="24"/>
                <w:szCs w:val="24"/>
              </w:rPr>
              <w:t>保障</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rPr>
              <w:t>8</w:t>
            </w:r>
            <w:r>
              <w:rPr>
                <w:rFonts w:ascii="Times New Roman" w:hAnsi="Times New Roman" w:eastAsia="宋体"/>
                <w:sz w:val="24"/>
                <w:szCs w:val="24"/>
              </w:rPr>
              <w:t>分</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总施工工期目标明确，关键节点明确，各分项工程施工顺序安排恰当、工序衔接合理，进度计划安排科学。</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w:t>
            </w:r>
            <w:r>
              <w:rPr>
                <w:rFonts w:ascii="Times New Roman" w:hAnsi="Times New Roman" w:eastAsia="宋体"/>
                <w:sz w:val="24"/>
                <w:szCs w:val="24"/>
              </w:rPr>
              <w:t>分。（4）方案存在明显缺陷的，得</w:t>
            </w:r>
            <w:r>
              <w:rPr>
                <w:rFonts w:hint="eastAsia" w:ascii="Times New Roman" w:hAnsi="Times New Roman" w:eastAsia="宋体"/>
                <w:sz w:val="24"/>
                <w:szCs w:val="24"/>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4</w:t>
            </w:r>
          </w:p>
        </w:tc>
        <w:tc>
          <w:tcPr>
            <w:tcW w:w="1701" w:type="dxa"/>
            <w:vAlign w:val="center"/>
          </w:tcPr>
          <w:p>
            <w:pPr>
              <w:rPr>
                <w:rFonts w:ascii="Times New Roman" w:hAnsi="Times New Roman" w:eastAsia="宋体"/>
                <w:sz w:val="24"/>
                <w:szCs w:val="24"/>
              </w:rPr>
            </w:pPr>
            <w:r>
              <w:rPr>
                <w:rFonts w:ascii="Times New Roman" w:hAnsi="Times New Roman" w:eastAsia="宋体"/>
                <w:sz w:val="24"/>
                <w:szCs w:val="24"/>
              </w:rPr>
              <w:t>质量保证体系</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rPr>
              <w:t>8</w:t>
            </w:r>
            <w:r>
              <w:rPr>
                <w:rFonts w:ascii="Times New Roman" w:hAnsi="Times New Roman" w:eastAsia="宋体"/>
                <w:sz w:val="24"/>
                <w:szCs w:val="24"/>
              </w:rPr>
              <w:t>分</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质量管理体系完善，工程质量</w:t>
            </w:r>
            <w:r>
              <w:rPr>
                <w:rFonts w:hint="eastAsia" w:ascii="Times New Roman" w:hAnsi="Times New Roman" w:eastAsia="宋体"/>
                <w:sz w:val="24"/>
                <w:szCs w:val="24"/>
              </w:rPr>
              <w:t>保证</w:t>
            </w:r>
            <w:r>
              <w:rPr>
                <w:rFonts w:ascii="Times New Roman" w:hAnsi="Times New Roman" w:eastAsia="宋体"/>
                <w:sz w:val="24"/>
                <w:szCs w:val="24"/>
              </w:rPr>
              <w:t>措施完善，按单位、分部和分项分解细化</w:t>
            </w:r>
            <w:r>
              <w:rPr>
                <w:rFonts w:hint="eastAsia" w:ascii="Times New Roman" w:hAnsi="Times New Roman" w:eastAsia="宋体"/>
                <w:sz w:val="24"/>
                <w:szCs w:val="24"/>
              </w:rPr>
              <w:t>，</w:t>
            </w:r>
            <w:r>
              <w:rPr>
                <w:rFonts w:ascii="Times New Roman" w:hAnsi="Times New Roman" w:eastAsia="宋体"/>
                <w:sz w:val="24"/>
                <w:szCs w:val="24"/>
              </w:rPr>
              <w:t>具体明确，制度健全，能确保工程质量</w:t>
            </w:r>
            <w:r>
              <w:rPr>
                <w:rFonts w:hint="eastAsia" w:ascii="Times New Roman" w:hAnsi="Times New Roman" w:eastAsia="宋体"/>
                <w:sz w:val="24"/>
                <w:szCs w:val="24"/>
              </w:rPr>
              <w:t>满足要求。</w:t>
            </w:r>
            <w:r>
              <w:rPr>
                <w:rFonts w:ascii="Times New Roman" w:hAnsi="Times New Roman" w:eastAsia="宋体"/>
                <w:sz w:val="24"/>
                <w:szCs w:val="24"/>
              </w:rPr>
              <w:t>对于本工程重点、难点及关键环节的认识，以及对重点、难点及关键环节有应对措施，措施具体可行，并备有必要预案。</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w:t>
            </w:r>
            <w:r>
              <w:rPr>
                <w:rFonts w:ascii="Times New Roman" w:hAnsi="Times New Roman" w:eastAsia="宋体"/>
                <w:sz w:val="24"/>
                <w:szCs w:val="24"/>
              </w:rPr>
              <w:t>分。（4）方案存在明显缺陷的，得</w:t>
            </w:r>
            <w:r>
              <w:rPr>
                <w:rFonts w:hint="eastAsia" w:ascii="Times New Roman" w:hAnsi="Times New Roman" w:eastAsia="宋体"/>
                <w:sz w:val="24"/>
                <w:szCs w:val="24"/>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5</w:t>
            </w:r>
          </w:p>
        </w:tc>
        <w:tc>
          <w:tcPr>
            <w:tcW w:w="1701" w:type="dxa"/>
            <w:vAlign w:val="center"/>
          </w:tcPr>
          <w:p>
            <w:pPr>
              <w:rPr>
                <w:rFonts w:ascii="Times New Roman" w:hAnsi="Times New Roman" w:eastAsia="宋体"/>
                <w:sz w:val="24"/>
                <w:szCs w:val="24"/>
              </w:rPr>
            </w:pPr>
            <w:r>
              <w:rPr>
                <w:rFonts w:ascii="Times New Roman" w:hAnsi="Times New Roman" w:eastAsia="宋体"/>
                <w:sz w:val="24"/>
                <w:szCs w:val="24"/>
              </w:rPr>
              <w:t>安全文明施工</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rPr>
              <w:t>8</w:t>
            </w:r>
            <w:r>
              <w:rPr>
                <w:rFonts w:ascii="Times New Roman" w:hAnsi="Times New Roman" w:eastAsia="宋体"/>
                <w:sz w:val="24"/>
                <w:szCs w:val="24"/>
              </w:rPr>
              <w:t>分</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安全保障体系完善，安全措施或制度健全</w:t>
            </w:r>
            <w:r>
              <w:rPr>
                <w:rFonts w:hint="eastAsia" w:ascii="Times New Roman" w:hAnsi="Times New Roman" w:eastAsia="宋体"/>
                <w:sz w:val="24"/>
                <w:szCs w:val="24"/>
              </w:rPr>
              <w:t>，</w:t>
            </w:r>
            <w:r>
              <w:rPr>
                <w:rFonts w:ascii="Times New Roman" w:hAnsi="Times New Roman" w:eastAsia="宋体"/>
                <w:sz w:val="24"/>
                <w:szCs w:val="24"/>
              </w:rPr>
              <w:t>有明确的环保及文明施工目标及体系。</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w:t>
            </w:r>
            <w:r>
              <w:rPr>
                <w:rFonts w:ascii="Times New Roman" w:hAnsi="Times New Roman" w:eastAsia="宋体"/>
                <w:sz w:val="24"/>
                <w:szCs w:val="24"/>
              </w:rPr>
              <w:t>分。（4）方案存在明显缺陷的，得</w:t>
            </w:r>
            <w:r>
              <w:rPr>
                <w:rFonts w:hint="eastAsia" w:ascii="Times New Roman" w:hAnsi="Times New Roman" w:eastAsia="宋体"/>
                <w:sz w:val="24"/>
                <w:szCs w:val="24"/>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6</w:t>
            </w:r>
          </w:p>
        </w:tc>
        <w:tc>
          <w:tcPr>
            <w:tcW w:w="1701" w:type="dxa"/>
            <w:vAlign w:val="center"/>
          </w:tcPr>
          <w:p>
            <w:pPr>
              <w:rPr>
                <w:rFonts w:ascii="Times New Roman" w:hAnsi="Times New Roman" w:eastAsia="宋体"/>
                <w:sz w:val="24"/>
                <w:szCs w:val="24"/>
              </w:rPr>
            </w:pPr>
            <w:r>
              <w:rPr>
                <w:rFonts w:hint="eastAsia" w:ascii="Times New Roman" w:hAnsi="Times New Roman" w:eastAsia="宋体"/>
                <w:sz w:val="24"/>
                <w:szCs w:val="24"/>
              </w:rPr>
              <w:t>施工方案</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rPr>
              <w:t>8分</w:t>
            </w:r>
          </w:p>
        </w:tc>
        <w:tc>
          <w:tcPr>
            <w:tcW w:w="4048" w:type="dxa"/>
            <w:vAlign w:val="center"/>
          </w:tcPr>
          <w:p>
            <w:pPr>
              <w:rPr>
                <w:rFonts w:ascii="Times New Roman" w:hAnsi="Times New Roman" w:eastAsia="宋体"/>
                <w:sz w:val="24"/>
                <w:szCs w:val="24"/>
              </w:rPr>
            </w:pPr>
            <w:r>
              <w:rPr>
                <w:rFonts w:hint="eastAsia" w:ascii="Times New Roman" w:hAnsi="Times New Roman" w:eastAsia="宋体"/>
                <w:sz w:val="24"/>
                <w:szCs w:val="24"/>
              </w:rPr>
              <w:t>各主要分部施工方法符合项目实际，须有详尽的施工技术方案，工艺先进，方法科学合理、可行，能指导具体施工并确保质量、进度与安全。</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w:t>
            </w:r>
            <w:r>
              <w:rPr>
                <w:rFonts w:ascii="Times New Roman" w:hAnsi="Times New Roman" w:eastAsia="宋体"/>
                <w:sz w:val="24"/>
                <w:szCs w:val="24"/>
              </w:rPr>
              <w:t>分。（4）方案存在明显缺陷的，得</w:t>
            </w:r>
            <w:r>
              <w:rPr>
                <w:rFonts w:hint="eastAsia" w:ascii="Times New Roman" w:hAnsi="Times New Roman" w:eastAsia="宋体"/>
                <w:sz w:val="24"/>
                <w:szCs w:val="24"/>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7</w:t>
            </w:r>
          </w:p>
        </w:tc>
        <w:tc>
          <w:tcPr>
            <w:tcW w:w="1701" w:type="dxa"/>
            <w:vAlign w:val="center"/>
          </w:tcPr>
          <w:p>
            <w:pPr>
              <w:rPr>
                <w:rFonts w:ascii="Times New Roman" w:hAnsi="Times New Roman" w:eastAsia="宋体"/>
                <w:sz w:val="24"/>
                <w:szCs w:val="24"/>
              </w:rPr>
            </w:pPr>
            <w:r>
              <w:rPr>
                <w:rFonts w:ascii="Times New Roman" w:hAnsi="Times New Roman" w:eastAsia="宋体"/>
                <w:sz w:val="24"/>
                <w:szCs w:val="24"/>
              </w:rPr>
              <w:t>售后</w:t>
            </w:r>
            <w:r>
              <w:rPr>
                <w:rFonts w:hint="eastAsia" w:ascii="Times New Roman" w:hAnsi="Times New Roman" w:eastAsia="宋体"/>
                <w:sz w:val="24"/>
                <w:szCs w:val="24"/>
              </w:rPr>
              <w:t>服务</w:t>
            </w:r>
            <w:r>
              <w:rPr>
                <w:rFonts w:ascii="Times New Roman" w:hAnsi="Times New Roman" w:eastAsia="宋体"/>
                <w:sz w:val="24"/>
                <w:szCs w:val="24"/>
              </w:rPr>
              <w:t>承诺</w:t>
            </w:r>
          </w:p>
        </w:tc>
        <w:tc>
          <w:tcPr>
            <w:tcW w:w="1134" w:type="dxa"/>
            <w:vAlign w:val="center"/>
          </w:tcPr>
          <w:p>
            <w:pPr>
              <w:rPr>
                <w:rFonts w:ascii="Times New Roman" w:hAnsi="Times New Roman" w:eastAsia="宋体"/>
                <w:sz w:val="24"/>
                <w:szCs w:val="24"/>
              </w:rPr>
            </w:pPr>
            <w:r>
              <w:rPr>
                <w:rFonts w:ascii="Times New Roman" w:hAnsi="Times New Roman" w:eastAsia="宋体"/>
                <w:sz w:val="24"/>
                <w:szCs w:val="24"/>
              </w:rPr>
              <w:t>2分</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包括保修年限，服务标准，人员配备，维修及保障措施等，根据供应商承诺情况满分2分，存在缺陷或不足的，酌情减分。</w:t>
            </w:r>
          </w:p>
        </w:tc>
      </w:tr>
    </w:tbl>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pStyle w:val="2"/>
        <w:rPr>
          <w:rFonts w:hint="eastAsia" w:asciiTheme="majorEastAsia" w:hAnsiTheme="majorEastAsia" w:eastAsiaTheme="majorEastAsia" w:cstheme="majorEastAsia"/>
          <w:b/>
          <w:sz w:val="36"/>
          <w:szCs w:val="36"/>
        </w:rPr>
      </w:pPr>
    </w:p>
    <w:p>
      <w:pPr>
        <w:rPr>
          <w:rFonts w:hint="eastAsia"/>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华文中宋" w:hAnsi="华文中宋" w:eastAsia="华文中宋"/>
          <w:b/>
          <w:sz w:val="36"/>
          <w:szCs w:val="36"/>
        </w:rPr>
      </w:pPr>
      <w:r>
        <w:rPr>
          <w:rFonts w:hint="eastAsia" w:asciiTheme="majorEastAsia" w:hAnsiTheme="majorEastAsia" w:eastAsiaTheme="majorEastAsia" w:cstheme="majorEastAsia"/>
          <w:b/>
          <w:sz w:val="36"/>
          <w:szCs w:val="36"/>
        </w:rPr>
        <w:t xml:space="preserve">第七章  </w:t>
      </w:r>
      <w:bookmarkStart w:id="112" w:name="_Toc403987220"/>
      <w:r>
        <w:rPr>
          <w:rFonts w:hint="eastAsia" w:asciiTheme="majorEastAsia" w:hAnsiTheme="majorEastAsia" w:eastAsiaTheme="majorEastAsia" w:cstheme="majorEastAsia"/>
          <w:b/>
          <w:sz w:val="36"/>
          <w:szCs w:val="36"/>
        </w:rPr>
        <w:t>响应文件格式</w:t>
      </w:r>
      <w:bookmarkEnd w:id="111"/>
      <w:bookmarkEnd w:id="112"/>
    </w:p>
    <w:p>
      <w:pPr>
        <w:jc w:val="center"/>
        <w:rPr>
          <w:rFonts w:hAnsi="宋体"/>
          <w:b/>
          <w:sz w:val="72"/>
        </w:rPr>
      </w:pPr>
      <w:bookmarkStart w:id="113" w:name="_Hlt26671244"/>
      <w:bookmarkEnd w:id="113"/>
      <w:bookmarkStart w:id="114" w:name="_Hlt26955039"/>
      <w:bookmarkEnd w:id="114"/>
      <w:bookmarkStart w:id="115" w:name="_Toc120614282"/>
      <w:bookmarkStart w:id="116" w:name="_Toc26554094"/>
      <w:bookmarkStart w:id="117" w:name="_Toc49090576"/>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w:t>
      </w:r>
      <w:r>
        <w:rPr>
          <w:rFonts w:hint="eastAsia" w:hAnsi="宋体"/>
          <w:b/>
          <w:sz w:val="36"/>
          <w:u w:val="none"/>
        </w:rPr>
        <w:t>（签章）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5"/>
    <w:bookmarkEnd w:id="116"/>
    <w:bookmarkEnd w:id="117"/>
    <w:p>
      <w:pPr>
        <w:rPr>
          <w:rFonts w:hAnsi="宋体"/>
          <w:b/>
          <w:sz w:val="30"/>
          <w:szCs w:val="30"/>
        </w:rPr>
      </w:pPr>
      <w:r>
        <w:rPr>
          <w:rFonts w:hint="eastAsia" w:hAnsi="宋体"/>
          <w:b/>
          <w:sz w:val="30"/>
          <w:szCs w:val="30"/>
        </w:rPr>
        <w:t xml:space="preserve"> </w:t>
      </w:r>
    </w:p>
    <w:p>
      <w:pPr>
        <w:spacing w:line="440" w:lineRule="exact"/>
        <w:jc w:val="center"/>
        <w:rPr>
          <w:rFonts w:hAnsi="宋体"/>
          <w:b/>
          <w:bCs/>
          <w:sz w:val="32"/>
          <w:szCs w:val="32"/>
        </w:rPr>
      </w:pPr>
      <w:r>
        <w:rPr>
          <w:rFonts w:hAnsi="宋体"/>
          <w:b/>
          <w:bCs/>
          <w:sz w:val="32"/>
          <w:szCs w:val="32"/>
        </w:rPr>
        <w:br w:type="page"/>
      </w:r>
      <w:r>
        <w:rPr>
          <w:rFonts w:hint="eastAsia" w:hAnsi="宋体"/>
          <w:b/>
          <w:bCs/>
          <w:sz w:val="32"/>
          <w:szCs w:val="32"/>
        </w:rPr>
        <w:t>响应文件目录</w:t>
      </w:r>
    </w:p>
    <w:p>
      <w:pPr>
        <w:snapToGrid w:val="0"/>
        <w:spacing w:before="50" w:after="50"/>
        <w:rPr>
          <w:rFonts w:hAnsi="宋体"/>
          <w:sz w:val="24"/>
          <w:szCs w:val="24"/>
        </w:rPr>
      </w:pPr>
    </w:p>
    <w:p>
      <w:pPr>
        <w:tabs>
          <w:tab w:val="left" w:pos="5580"/>
        </w:tabs>
        <w:adjustRightInd w:val="0"/>
        <w:snapToGrid w:val="0"/>
        <w:spacing w:line="360" w:lineRule="auto"/>
        <w:jc w:val="left"/>
        <w:rPr>
          <w:rFonts w:hAnsi="宋体"/>
          <w:b/>
          <w:sz w:val="24"/>
          <w:szCs w:val="24"/>
        </w:rPr>
      </w:pPr>
      <w:r>
        <w:rPr>
          <w:rFonts w:hint="eastAsia" w:hAnsi="宋体"/>
          <w:b/>
          <w:sz w:val="24"/>
          <w:szCs w:val="24"/>
        </w:rPr>
        <w:t>一、开标一览表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二、资格性和符合性检查响应对照表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三、资信证明文件</w:t>
      </w:r>
    </w:p>
    <w:p>
      <w:pPr>
        <w:tabs>
          <w:tab w:val="left" w:pos="5580"/>
        </w:tabs>
        <w:adjustRightInd w:val="0"/>
        <w:snapToGrid w:val="0"/>
        <w:spacing w:line="360" w:lineRule="auto"/>
        <w:jc w:val="left"/>
        <w:rPr>
          <w:rFonts w:hAnsi="宋体"/>
          <w:b/>
          <w:sz w:val="24"/>
          <w:szCs w:val="24"/>
        </w:rPr>
      </w:pPr>
      <w:r>
        <w:rPr>
          <w:rFonts w:hint="eastAsia" w:hAnsi="宋体"/>
          <w:b/>
          <w:sz w:val="24"/>
          <w:szCs w:val="24"/>
        </w:rPr>
        <w:t>四、磋商函格式</w:t>
      </w:r>
    </w:p>
    <w:p>
      <w:pPr>
        <w:adjustRightInd w:val="0"/>
        <w:snapToGrid w:val="0"/>
        <w:spacing w:line="360" w:lineRule="auto"/>
        <w:rPr>
          <w:rFonts w:hint="eastAsia" w:ascii="宋体" w:hAnsi="宋体"/>
          <w:b/>
          <w:sz w:val="24"/>
          <w:szCs w:val="24"/>
          <w:lang w:val="en-US" w:eastAsia="zh-CN"/>
        </w:rPr>
      </w:pPr>
      <w:r>
        <w:rPr>
          <w:rFonts w:hint="eastAsia" w:ascii="宋体" w:hAnsi="宋体"/>
          <w:b/>
          <w:sz w:val="24"/>
          <w:szCs w:val="24"/>
        </w:rPr>
        <w:t>五、</w:t>
      </w:r>
      <w:r>
        <w:rPr>
          <w:rFonts w:hint="eastAsia" w:ascii="宋体" w:hAnsi="宋体"/>
          <w:b/>
          <w:sz w:val="24"/>
          <w:szCs w:val="24"/>
          <w:lang w:val="en-US" w:eastAsia="zh-CN"/>
        </w:rPr>
        <w:t>投标文件须包含分部分项工程量清单综合单价分析表等《建设工程工程量清单计价规范》(GB 50500-2013）中要求提供的文件。</w:t>
      </w:r>
    </w:p>
    <w:p>
      <w:pPr>
        <w:adjustRightInd w:val="0"/>
        <w:snapToGrid w:val="0"/>
        <w:spacing w:line="360" w:lineRule="auto"/>
        <w:rPr>
          <w:rFonts w:hint="default" w:ascii="宋体" w:hAnsi="宋体" w:eastAsia="宋体"/>
          <w:b/>
          <w:sz w:val="24"/>
          <w:szCs w:val="24"/>
          <w:lang w:val="en-US" w:eastAsia="zh-CN"/>
        </w:rPr>
      </w:pPr>
      <w:r>
        <w:rPr>
          <w:rFonts w:hint="eastAsia" w:ascii="宋体" w:hAnsi="宋体"/>
          <w:b/>
          <w:sz w:val="24"/>
          <w:szCs w:val="24"/>
        </w:rPr>
        <w:t>六、施工</w:t>
      </w:r>
      <w:r>
        <w:rPr>
          <w:rFonts w:hint="eastAsia" w:ascii="宋体" w:hAnsi="宋体"/>
          <w:b/>
          <w:sz w:val="24"/>
          <w:szCs w:val="24"/>
          <w:lang w:val="en-US" w:eastAsia="zh-CN"/>
        </w:rPr>
        <w:t>组织设计</w:t>
      </w:r>
    </w:p>
    <w:p>
      <w:pPr>
        <w:adjustRightInd w:val="0"/>
        <w:snapToGrid w:val="0"/>
        <w:spacing w:line="360" w:lineRule="auto"/>
        <w:rPr>
          <w:rFonts w:ascii="宋体" w:hAnsi="宋体"/>
          <w:b/>
          <w:sz w:val="24"/>
          <w:szCs w:val="24"/>
        </w:rPr>
      </w:pPr>
      <w:r>
        <w:rPr>
          <w:rFonts w:hint="eastAsia" w:ascii="宋体" w:hAnsi="宋体"/>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hint="eastAsia" w:ascii="宋体" w:hAnsi="宋体" w:eastAsia="宋体" w:cs="宋体"/>
          <w:b/>
          <w:spacing w:val="-6"/>
          <w:szCs w:val="28"/>
        </w:rPr>
      </w:pPr>
      <w:r>
        <w:rPr>
          <w:rFonts w:hint="eastAsia" w:ascii="宋体" w:hAnsi="宋体" w:eastAsia="宋体" w:cs="宋体"/>
          <w:b/>
          <w:spacing w:val="-6"/>
          <w:szCs w:val="28"/>
        </w:rPr>
        <w:t>一、开标一览表</w:t>
      </w:r>
    </w:p>
    <w:p>
      <w:pPr>
        <w:snapToGrid w:val="0"/>
        <w:spacing w:before="50" w:after="50" w:line="360" w:lineRule="auto"/>
        <w:rPr>
          <w:rFonts w:ascii="宋体" w:hAnsi="宋体"/>
          <w:spacing w:val="-6"/>
          <w:sz w:val="24"/>
          <w:szCs w:val="24"/>
        </w:rPr>
      </w:pPr>
      <w:r>
        <w:rPr>
          <w:rFonts w:hint="eastAsia" w:ascii="宋体" w:hAnsi="宋体"/>
          <w:spacing w:val="-6"/>
          <w:sz w:val="24"/>
          <w:szCs w:val="24"/>
        </w:rPr>
        <w:t>招标编号：</w:t>
      </w:r>
    </w:p>
    <w:p>
      <w:pPr>
        <w:snapToGrid w:val="0"/>
        <w:spacing w:before="50" w:after="50" w:line="360" w:lineRule="auto"/>
        <w:rPr>
          <w:rFonts w:ascii="宋体" w:hAnsi="宋体"/>
          <w:spacing w:val="-6"/>
          <w:sz w:val="24"/>
          <w:szCs w:val="24"/>
        </w:rPr>
      </w:pPr>
      <w:r>
        <w:rPr>
          <w:rFonts w:hint="eastAsia" w:ascii="宋体" w:hAnsi="宋体"/>
          <w:spacing w:val="-6"/>
          <w:sz w:val="24"/>
          <w:szCs w:val="24"/>
        </w:rPr>
        <w:t>投标人名称：</w:t>
      </w:r>
      <w:r>
        <w:rPr>
          <w:rFonts w:hint="eastAsia" w:ascii="宋体" w:hAnsi="宋体"/>
          <w:spacing w:val="-6"/>
          <w:sz w:val="24"/>
          <w:szCs w:val="24"/>
          <w:u w:val="single"/>
        </w:rPr>
        <w:t xml:space="preserve">                     </w:t>
      </w:r>
      <w:r>
        <w:rPr>
          <w:rFonts w:hint="eastAsia" w:ascii="宋体" w:hAnsi="宋体"/>
          <w:spacing w:val="-6"/>
          <w:sz w:val="24"/>
          <w:szCs w:val="24"/>
        </w:rPr>
        <w:t xml:space="preserve">                           </w:t>
      </w:r>
    </w:p>
    <w:tbl>
      <w:tblPr>
        <w:tblStyle w:val="28"/>
        <w:tblW w:w="911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23"/>
        <w:gridCol w:w="379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32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项目名称</w:t>
            </w:r>
          </w:p>
        </w:tc>
        <w:tc>
          <w:tcPr>
            <w:tcW w:w="379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5323" w:type="dxa"/>
            <w:tcBorders>
              <w:top w:val="single" w:color="auto" w:sz="4" w:space="0"/>
              <w:left w:val="single" w:color="auto" w:sz="4" w:space="0"/>
              <w:right w:val="single" w:color="auto" w:sz="4" w:space="0"/>
            </w:tcBorders>
            <w:noWrap w:val="0"/>
            <w:vAlign w:val="center"/>
          </w:tcPr>
          <w:p>
            <w:pPr>
              <w:jc w:val="center"/>
              <w:rPr>
                <w:rFonts w:hint="eastAsia" w:eastAsia="宋体"/>
                <w:bCs/>
                <w:sz w:val="24"/>
                <w:szCs w:val="24"/>
                <w:lang w:eastAsia="zh-CN"/>
              </w:rPr>
            </w:pPr>
            <w:r>
              <w:rPr>
                <w:rFonts w:hint="eastAsia" w:eastAsia="宋体" w:cs="Times New Roman"/>
                <w:lang w:eastAsia="zh-CN"/>
              </w:rPr>
              <w:t xml:space="preserve">皖南医学院2023年度学生宿舍出新工程项目   </w:t>
            </w:r>
          </w:p>
        </w:tc>
        <w:tc>
          <w:tcPr>
            <w:tcW w:w="3792" w:type="dxa"/>
            <w:tcBorders>
              <w:top w:val="single" w:color="auto" w:sz="4" w:space="0"/>
              <w:left w:val="single" w:color="auto" w:sz="4" w:space="0"/>
              <w:right w:val="single" w:color="auto" w:sz="4" w:space="0"/>
            </w:tcBorders>
            <w:noWrap w:val="0"/>
            <w:vAlign w:val="center"/>
          </w:tcPr>
          <w:p>
            <w:pPr>
              <w:snapToGrid w:val="0"/>
              <w:spacing w:before="50" w:after="50"/>
              <w:jc w:val="left"/>
              <w:rPr>
                <w:rFonts w:hint="eastAsia"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大写：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r>
              <w:rPr>
                <w:rFonts w:hint="eastAsia" w:ascii="宋体" w:hAnsi="宋体"/>
                <w:spacing w:val="-6"/>
                <w:sz w:val="24"/>
                <w:szCs w:val="24"/>
                <w:u w:val="single"/>
              </w:rPr>
              <w:t xml:space="preserve"> </w:t>
            </w:r>
          </w:p>
          <w:p>
            <w:pPr>
              <w:snapToGrid w:val="0"/>
              <w:spacing w:before="50" w:after="50"/>
              <w:jc w:val="center"/>
              <w:rPr>
                <w:rFonts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小写：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p>
          <w:p>
            <w:pPr>
              <w:pStyle w:val="27"/>
              <w:numPr>
                <w:ilvl w:val="0"/>
                <w:numId w:val="0"/>
              </w:numPr>
              <w:rPr>
                <w:rFonts w:hint="eastAsia"/>
                <w:lang w:val="en-US" w:eastAsia="zh-CN"/>
              </w:rPr>
            </w:pPr>
          </w:p>
          <w:p>
            <w:pPr>
              <w:pStyle w:val="27"/>
              <w:ind w:left="0" w:leftChars="0" w:firstLine="0" w:firstLineChars="0"/>
              <w:rPr>
                <w:rFonts w:hint="default" w:eastAsia="宋体"/>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911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50" w:after="50"/>
              <w:rPr>
                <w:rFonts w:hint="eastAsia" w:ascii="宋体" w:hAnsi="宋体" w:eastAsia="宋体"/>
                <w:spacing w:val="-6"/>
                <w:sz w:val="24"/>
                <w:szCs w:val="24"/>
                <w:lang w:eastAsia="zh-CN"/>
              </w:rPr>
            </w:pPr>
            <w:r>
              <w:rPr>
                <w:rFonts w:hint="eastAsia" w:eastAsia="宋体" w:cs="Times New Roman"/>
              </w:rPr>
              <w:t>备注：</w:t>
            </w:r>
          </w:p>
        </w:tc>
      </w:tr>
    </w:tbl>
    <w:p>
      <w:pPr>
        <w:snapToGrid w:val="0"/>
        <w:spacing w:before="50" w:after="50" w:line="360" w:lineRule="auto"/>
        <w:jc w:val="left"/>
        <w:rPr>
          <w:rFonts w:ascii="宋体" w:hAnsi="宋体"/>
          <w:spacing w:val="-6"/>
          <w:sz w:val="24"/>
          <w:szCs w:val="24"/>
        </w:rPr>
      </w:pPr>
      <w:r>
        <w:rPr>
          <w:rFonts w:hint="eastAsia" w:ascii="宋体" w:hAnsi="宋体"/>
          <w:spacing w:val="-6"/>
          <w:sz w:val="24"/>
          <w:szCs w:val="24"/>
        </w:rPr>
        <w:t>注: 1、实际费用据实结算。</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2、报价不得涂改否则其投标作无效标处理。</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3、</w:t>
      </w:r>
      <w:r>
        <w:rPr>
          <w:rFonts w:hint="eastAsia" w:ascii="宋体" w:hAnsi="宋体"/>
          <w:sz w:val="24"/>
          <w:szCs w:val="24"/>
        </w:rPr>
        <w:t>磋商报价</w:t>
      </w:r>
      <w:r>
        <w:rPr>
          <w:rFonts w:hint="eastAsia" w:ascii="宋体" w:hAnsi="宋体"/>
          <w:spacing w:val="-6"/>
          <w:sz w:val="24"/>
          <w:szCs w:val="24"/>
        </w:rPr>
        <w:t>应包括</w:t>
      </w:r>
      <w:r>
        <w:rPr>
          <w:rFonts w:hint="eastAsia" w:ascii="宋体" w:hAnsi="宋体"/>
          <w:sz w:val="24"/>
          <w:szCs w:val="24"/>
        </w:rPr>
        <w:t>所需人工费、材料费、其他（保险费，以及合同明示或暗示的风险、责任和义务等）费，以及管理费、利润和规费、税金等一切费用</w:t>
      </w:r>
      <w:r>
        <w:rPr>
          <w:rFonts w:hint="eastAsia" w:ascii="宋体" w:hAnsi="宋体"/>
          <w:spacing w:val="-6"/>
          <w:sz w:val="24"/>
          <w:szCs w:val="24"/>
        </w:rPr>
        <w:t>。</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宋体" w:hAnsi="宋体"/>
          <w:spacing w:val="-6"/>
          <w:sz w:val="24"/>
          <w:szCs w:val="24"/>
        </w:rPr>
      </w:pPr>
      <w:r>
        <w:rPr>
          <w:rFonts w:hint="eastAsia" w:ascii="宋体" w:hAnsi="宋体"/>
          <w:spacing w:val="-6"/>
          <w:sz w:val="24"/>
          <w:szCs w:val="24"/>
        </w:rPr>
        <w:t>授权代表签字：</w:t>
      </w:r>
    </w:p>
    <w:p>
      <w:pPr>
        <w:jc w:val="center"/>
        <w:rPr>
          <w:rFonts w:hAnsi="宋体"/>
          <w:sz w:val="24"/>
          <w:szCs w:val="24"/>
        </w:rPr>
      </w:pPr>
      <w:r>
        <w:rPr>
          <w:rFonts w:hint="eastAsia" w:ascii="宋体" w:hAnsi="宋体"/>
          <w:spacing w:val="-6"/>
          <w:sz w:val="24"/>
          <w:szCs w:val="24"/>
        </w:rPr>
        <w:t>投标人名称（盖章）：                                 日期：    年   月   日</w:t>
      </w:r>
    </w:p>
    <w:p>
      <w:pPr>
        <w:jc w:val="center"/>
        <w:rPr>
          <w:rStyle w:val="66"/>
          <w:rFonts w:hAnsi="宋体"/>
          <w:color w:val="auto"/>
          <w:sz w:val="24"/>
          <w:szCs w:val="24"/>
        </w:rPr>
      </w:pPr>
    </w:p>
    <w:p>
      <w:pPr>
        <w:jc w:val="both"/>
        <w:rPr>
          <w:rFonts w:ascii="宋体" w:hAnsi="宋体"/>
          <w:spacing w:val="-6"/>
          <w:sz w:val="24"/>
        </w:rPr>
      </w:pPr>
    </w:p>
    <w:p>
      <w:pPr>
        <w:jc w:val="center"/>
        <w:rPr>
          <w:rFonts w:ascii="宋体" w:hAnsi="宋体"/>
          <w:spacing w:val="-6"/>
          <w:sz w:val="24"/>
        </w:rPr>
      </w:pPr>
    </w:p>
    <w:p>
      <w:pPr>
        <w:pStyle w:val="27"/>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jc w:val="center"/>
        <w:rPr>
          <w:rStyle w:val="66"/>
          <w:rFonts w:hint="eastAsia" w:asciiTheme="majorEastAsia" w:hAnsiTheme="majorEastAsia" w:eastAsiaTheme="majorEastAsia" w:cstheme="majorEastAsia"/>
          <w:color w:val="auto"/>
          <w:sz w:val="28"/>
          <w:szCs w:val="28"/>
        </w:rPr>
      </w:pPr>
      <w:r>
        <w:rPr>
          <w:rStyle w:val="66"/>
          <w:rFonts w:hint="eastAsia" w:asciiTheme="majorEastAsia" w:hAnsiTheme="majorEastAsia" w:eastAsiaTheme="majorEastAsia" w:cstheme="majorEastAsia"/>
          <w:color w:val="auto"/>
          <w:sz w:val="28"/>
          <w:szCs w:val="28"/>
        </w:rPr>
        <w:t>二、资格性和符合性检查响应对照表</w:t>
      </w:r>
    </w:p>
    <w:p>
      <w:pPr>
        <w:ind w:firstLine="309"/>
        <w:rPr>
          <w:rFonts w:hAnsi="宋体"/>
          <w:sz w:val="24"/>
          <w:szCs w:val="24"/>
        </w:rPr>
      </w:pPr>
    </w:p>
    <w:p>
      <w:pPr>
        <w:ind w:firstLine="309"/>
        <w:rPr>
          <w:rFonts w:hAnsi="宋体"/>
          <w:sz w:val="24"/>
          <w:szCs w:val="24"/>
        </w:rPr>
      </w:pPr>
      <w:r>
        <w:rPr>
          <w:rFonts w:hint="eastAsia" w:hAnsi="宋体"/>
          <w:sz w:val="24"/>
          <w:szCs w:val="24"/>
        </w:rPr>
        <w:t>供应商全称（加盖公章）：</w:t>
      </w:r>
    </w:p>
    <w:tbl>
      <w:tblPr>
        <w:tblStyle w:val="28"/>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 w:hRule="atLeast"/>
        </w:trPr>
        <w:tc>
          <w:tcPr>
            <w:tcW w:w="709" w:type="dxa"/>
            <w:noWrap w:val="0"/>
            <w:vAlign w:val="center"/>
          </w:tcPr>
          <w:p>
            <w:pPr>
              <w:snapToGrid w:val="0"/>
              <w:spacing w:line="240" w:lineRule="atLeast"/>
              <w:jc w:val="center"/>
              <w:rPr>
                <w:rFonts w:hAnsi="宋体"/>
                <w:b/>
                <w:sz w:val="24"/>
                <w:szCs w:val="24"/>
              </w:rPr>
            </w:pPr>
            <w:r>
              <w:rPr>
                <w:rFonts w:hint="eastAsia" w:hAnsi="宋体"/>
                <w:b/>
                <w:sz w:val="24"/>
                <w:szCs w:val="24"/>
              </w:rPr>
              <w:t>序号</w:t>
            </w:r>
          </w:p>
        </w:tc>
        <w:tc>
          <w:tcPr>
            <w:tcW w:w="4678" w:type="dxa"/>
            <w:noWrap w:val="0"/>
            <w:vAlign w:val="center"/>
          </w:tcPr>
          <w:p>
            <w:pPr>
              <w:snapToGrid w:val="0"/>
              <w:spacing w:line="240" w:lineRule="atLeast"/>
              <w:jc w:val="center"/>
              <w:rPr>
                <w:rFonts w:hAnsi="宋体"/>
                <w:b/>
                <w:sz w:val="24"/>
                <w:szCs w:val="24"/>
              </w:rPr>
            </w:pPr>
            <w:r>
              <w:rPr>
                <w:rFonts w:hint="eastAsia" w:hAnsi="宋体"/>
                <w:b/>
                <w:sz w:val="24"/>
                <w:szCs w:val="24"/>
              </w:rPr>
              <w:t>资格和符合性检查响应内容</w:t>
            </w:r>
          </w:p>
        </w:tc>
        <w:tc>
          <w:tcPr>
            <w:tcW w:w="1842" w:type="dxa"/>
            <w:noWrap w:val="0"/>
            <w:vAlign w:val="center"/>
          </w:tcPr>
          <w:p>
            <w:pPr>
              <w:snapToGrid w:val="0"/>
              <w:spacing w:line="240" w:lineRule="atLeast"/>
              <w:jc w:val="center"/>
              <w:rPr>
                <w:rFonts w:hAnsi="宋体"/>
                <w:b/>
                <w:sz w:val="24"/>
                <w:szCs w:val="24"/>
              </w:rPr>
            </w:pPr>
            <w:r>
              <w:rPr>
                <w:rFonts w:hint="eastAsia" w:hAnsi="宋体"/>
                <w:b/>
                <w:sz w:val="24"/>
                <w:szCs w:val="24"/>
              </w:rPr>
              <w:t>是否响应</w:t>
            </w:r>
          </w:p>
          <w:p>
            <w:pPr>
              <w:snapToGrid w:val="0"/>
              <w:spacing w:line="240" w:lineRule="atLeast"/>
              <w:jc w:val="center"/>
              <w:rPr>
                <w:rFonts w:hAnsi="宋体"/>
                <w:b/>
                <w:sz w:val="24"/>
                <w:szCs w:val="24"/>
              </w:rPr>
            </w:pPr>
            <w:r>
              <w:rPr>
                <w:rFonts w:hint="eastAsia" w:hAnsi="宋体"/>
                <w:b/>
                <w:sz w:val="24"/>
                <w:szCs w:val="24"/>
              </w:rPr>
              <w:t>（填是或者否）</w:t>
            </w:r>
          </w:p>
        </w:tc>
        <w:tc>
          <w:tcPr>
            <w:tcW w:w="1701" w:type="dxa"/>
            <w:noWrap w:val="0"/>
            <w:vAlign w:val="center"/>
          </w:tcPr>
          <w:p>
            <w:pPr>
              <w:snapToGrid w:val="0"/>
              <w:spacing w:line="240" w:lineRule="atLeast"/>
              <w:jc w:val="center"/>
              <w:rPr>
                <w:rFonts w:hAnsi="宋体"/>
                <w:b/>
                <w:sz w:val="24"/>
                <w:szCs w:val="24"/>
              </w:rPr>
            </w:pPr>
            <w:r>
              <w:rPr>
                <w:rFonts w:hint="eastAsia" w:hAnsi="宋体"/>
                <w:b/>
                <w:sz w:val="24"/>
                <w:szCs w:val="24"/>
              </w:rPr>
              <w:t>响应文件中的</w:t>
            </w:r>
          </w:p>
          <w:p>
            <w:pPr>
              <w:snapToGrid w:val="0"/>
              <w:spacing w:line="240" w:lineRule="atLeast"/>
              <w:jc w:val="center"/>
              <w:rPr>
                <w:rFonts w:hAnsi="宋体"/>
                <w:b/>
                <w:sz w:val="24"/>
                <w:szCs w:val="24"/>
              </w:rPr>
            </w:pPr>
            <w:r>
              <w:rPr>
                <w:rFonts w:hint="eastAsia" w:hAnsi="宋体"/>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b/>
                <w:sz w:val="24"/>
                <w:szCs w:val="24"/>
              </w:rPr>
            </w:pPr>
            <w:r>
              <w:rPr>
                <w:rFonts w:hint="eastAsia" w:hAnsi="宋体"/>
                <w:sz w:val="24"/>
                <w:szCs w:val="24"/>
              </w:rPr>
              <w:t>1</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1   工商营业执照（复印件</w:t>
            </w:r>
            <w:r>
              <w:rPr>
                <w:rFonts w:hint="eastAsia" w:hAnsi="宋体"/>
                <w:i/>
                <w:iCs/>
                <w:sz w:val="24"/>
                <w:szCs w:val="24"/>
                <w:u w:val="single"/>
              </w:rPr>
              <w:t>，</w:t>
            </w:r>
            <w:r>
              <w:rPr>
                <w:rFonts w:hAnsi="宋体"/>
                <w:i/>
                <w:iCs/>
                <w:sz w:val="24"/>
                <w:szCs w:val="24"/>
                <w:u w:val="single"/>
              </w:rPr>
              <w:t>加盖公章）</w:t>
            </w:r>
          </w:p>
        </w:tc>
        <w:tc>
          <w:tcPr>
            <w:tcW w:w="1842" w:type="dxa"/>
            <w:noWrap w:val="0"/>
            <w:vAlign w:val="center"/>
          </w:tcPr>
          <w:p>
            <w:pPr>
              <w:jc w:val="center"/>
              <w:rPr>
                <w:rFonts w:hAnsi="宋体"/>
                <w:b/>
                <w:sz w:val="24"/>
                <w:szCs w:val="24"/>
              </w:rPr>
            </w:pPr>
          </w:p>
        </w:tc>
        <w:tc>
          <w:tcPr>
            <w:tcW w:w="1701" w:type="dxa"/>
            <w:noWrap w:val="0"/>
            <w:vAlign w:val="center"/>
          </w:tcPr>
          <w:p>
            <w:pPr>
              <w:jc w:val="center"/>
              <w:rPr>
                <w:rFonts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2</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2   法人授权书（原件</w:t>
            </w:r>
            <w:r>
              <w:rPr>
                <w:rFonts w:hint="eastAsia" w:hAnsi="宋体"/>
                <w:i/>
                <w:iCs/>
                <w:sz w:val="24"/>
                <w:szCs w:val="24"/>
                <w:u w:val="single"/>
              </w:rPr>
              <w:t>，</w:t>
            </w:r>
            <w:r>
              <w:rPr>
                <w:rFonts w:hAnsi="宋体"/>
                <w:i/>
                <w:iCs/>
                <w:sz w:val="24"/>
                <w:szCs w:val="24"/>
                <w:u w:val="single"/>
              </w:rPr>
              <w:t>非法定代表人参与</w:t>
            </w:r>
            <w:r>
              <w:rPr>
                <w:rFonts w:hint="eastAsia" w:hAnsi="宋体"/>
                <w:i/>
                <w:iCs/>
                <w:sz w:val="24"/>
                <w:szCs w:val="24"/>
                <w:u w:val="single"/>
              </w:rPr>
              <w:t>磋商</w:t>
            </w:r>
            <w:r>
              <w:rPr>
                <w:rFonts w:hAnsi="宋体"/>
                <w:i/>
                <w:iCs/>
                <w:sz w:val="24"/>
                <w:szCs w:val="24"/>
                <w:u w:val="single"/>
              </w:rPr>
              <w:t>时必须提供）</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3</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文件3</w:t>
            </w:r>
            <w:r>
              <w:rPr>
                <w:rFonts w:hAnsi="宋体"/>
                <w:i/>
                <w:iCs/>
                <w:sz w:val="24"/>
                <w:szCs w:val="24"/>
                <w:u w:val="single"/>
              </w:rPr>
              <w:t xml:space="preserve">  </w:t>
            </w:r>
            <w:r>
              <w:rPr>
                <w:rFonts w:hint="eastAsia" w:hAnsi="宋体"/>
                <w:i/>
                <w:iCs/>
                <w:sz w:val="24"/>
                <w:szCs w:val="24"/>
                <w:u w:val="single"/>
              </w:rPr>
              <w:t xml:space="preserve"> 投标人一般情况表</w:t>
            </w:r>
            <w:r>
              <w:rPr>
                <w:rFonts w:hAnsi="宋体"/>
                <w:i/>
                <w:iCs/>
                <w:sz w:val="24"/>
                <w:szCs w:val="24"/>
                <w:u w:val="single"/>
              </w:rPr>
              <w:t>（原件）</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noWrap w:val="0"/>
            <w:vAlign w:val="center"/>
          </w:tcPr>
          <w:p>
            <w:pPr>
              <w:jc w:val="center"/>
              <w:rPr>
                <w:rFonts w:hAnsi="宋体"/>
                <w:sz w:val="24"/>
                <w:szCs w:val="24"/>
              </w:rPr>
            </w:pPr>
            <w:r>
              <w:rPr>
                <w:rFonts w:hint="eastAsia" w:hAnsi="宋体"/>
                <w:sz w:val="24"/>
                <w:szCs w:val="24"/>
              </w:rPr>
              <w:t>4</w:t>
            </w:r>
          </w:p>
        </w:tc>
        <w:tc>
          <w:tcPr>
            <w:tcW w:w="4678" w:type="dxa"/>
            <w:noWrap w:val="0"/>
            <w:vAlign w:val="center"/>
          </w:tcPr>
          <w:p>
            <w:pPr>
              <w:rPr>
                <w:rFonts w:ascii="宋体" w:hAnsi="宋体"/>
                <w:i/>
                <w:iCs/>
                <w:sz w:val="24"/>
                <w:szCs w:val="24"/>
                <w:u w:val="single"/>
              </w:rPr>
            </w:pPr>
            <w:r>
              <w:rPr>
                <w:rFonts w:hint="eastAsia" w:hAnsi="宋体"/>
                <w:i/>
                <w:iCs/>
                <w:sz w:val="24"/>
                <w:szCs w:val="24"/>
              </w:rPr>
              <w:t>磋商文件中的其他实质性要求</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bl>
    <w:p>
      <w:pPr>
        <w:snapToGrid w:val="0"/>
        <w:spacing w:before="50" w:after="50"/>
        <w:rPr>
          <w:rFonts w:hAnsi="宋体"/>
          <w:sz w:val="24"/>
          <w:szCs w:val="24"/>
        </w:rPr>
      </w:pPr>
    </w:p>
    <w:p>
      <w:pPr>
        <w:snapToGrid w:val="0"/>
        <w:spacing w:before="50" w:after="50"/>
        <w:jc w:val="center"/>
        <w:rPr>
          <w:rStyle w:val="66"/>
          <w:rFonts w:ascii="华文中宋" w:hAnsi="华文中宋" w:eastAsia="华文中宋"/>
          <w:color w:val="auto"/>
          <w:sz w:val="28"/>
          <w:szCs w:val="28"/>
        </w:rPr>
      </w:pPr>
      <w:r>
        <w:rPr>
          <w:rFonts w:hAnsi="宋体"/>
          <w:sz w:val="32"/>
          <w:szCs w:val="32"/>
        </w:rPr>
        <w:br w:type="page"/>
      </w:r>
      <w:r>
        <w:rPr>
          <w:rStyle w:val="66"/>
          <w:rFonts w:hint="eastAsia" w:asciiTheme="majorEastAsia" w:hAnsiTheme="majorEastAsia" w:eastAsiaTheme="majorEastAsia" w:cstheme="majorEastAsia"/>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8" w:name="_Toc513029281"/>
      <w:bookmarkStart w:id="119" w:name="_Toc24878535"/>
      <w:bookmarkStart w:id="120" w:name="_Toc23828483"/>
      <w:bookmarkStart w:id="121" w:name="_Toc49090582"/>
      <w:bookmarkStart w:id="122" w:name="_Toc120614291"/>
      <w:bookmarkStart w:id="123" w:name="_Toc26554103"/>
      <w:bookmarkStart w:id="124" w:name="_Toc22356583"/>
      <w:bookmarkStart w:id="125"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hAnsi="宋体"/>
        </w:rPr>
        <w:t>法人授权书</w:t>
      </w:r>
      <w:bookmarkEnd w:id="118"/>
      <w:bookmarkEnd w:id="119"/>
      <w:bookmarkEnd w:id="120"/>
      <w:bookmarkEnd w:id="121"/>
      <w:bookmarkEnd w:id="122"/>
      <w:bookmarkEnd w:id="123"/>
      <w:bookmarkEnd w:id="124"/>
      <w:r>
        <w:rPr>
          <w:rFonts w:hint="eastAsia" w:hAnsi="宋体"/>
        </w:rPr>
        <w:t>格式</w:t>
      </w:r>
    </w:p>
    <w:p>
      <w:pPr>
        <w:snapToGrid w:val="0"/>
        <w:spacing w:line="360" w:lineRule="auto"/>
        <w:rPr>
          <w:rFonts w:ascii="宋体" w:hAnsi="宋体"/>
          <w:b/>
          <w:spacing w:val="-6"/>
          <w:sz w:val="24"/>
          <w:szCs w:val="24"/>
        </w:rPr>
      </w:pPr>
      <w:r>
        <w:rPr>
          <w:rFonts w:hint="eastAsia" w:ascii="宋体" w:hAnsi="宋体"/>
          <w:spacing w:val="-6"/>
          <w:sz w:val="24"/>
          <w:szCs w:val="24"/>
        </w:rPr>
        <w:t>致：皖南医学院：</w:t>
      </w:r>
    </w:p>
    <w:p>
      <w:pPr>
        <w:adjustRightInd w:val="0"/>
        <w:snapToGrid w:val="0"/>
        <w:spacing w:line="360" w:lineRule="auto"/>
        <w:ind w:firstLine="684" w:firstLineChars="300"/>
        <w:rPr>
          <w:rFonts w:ascii="宋体" w:hAnsi="宋体"/>
          <w:spacing w:val="-6"/>
          <w:sz w:val="24"/>
          <w:szCs w:val="24"/>
        </w:rPr>
      </w:pPr>
      <w:r>
        <w:rPr>
          <w:rFonts w:hint="eastAsia" w:ascii="宋体" w:hAnsi="宋体"/>
          <w:spacing w:val="-6"/>
          <w:sz w:val="24"/>
          <w:szCs w:val="24"/>
        </w:rPr>
        <w:t>我______</w:t>
      </w:r>
      <w:r>
        <w:rPr>
          <w:rFonts w:hint="eastAsia" w:ascii="宋体" w:hAnsi="宋体"/>
          <w:spacing w:val="-6"/>
          <w:sz w:val="24"/>
          <w:szCs w:val="24"/>
          <w:u w:val="single"/>
        </w:rPr>
        <w:t>_     _</w:t>
      </w:r>
      <w:r>
        <w:rPr>
          <w:rFonts w:hint="eastAsia" w:ascii="宋体" w:hAnsi="宋体"/>
          <w:spacing w:val="-6"/>
          <w:sz w:val="24"/>
          <w:szCs w:val="24"/>
        </w:rPr>
        <w:t>_（姓名）系______</w:t>
      </w:r>
      <w:r>
        <w:rPr>
          <w:rFonts w:hint="eastAsia" w:ascii="宋体" w:hAnsi="宋体"/>
          <w:spacing w:val="-6"/>
          <w:sz w:val="24"/>
          <w:szCs w:val="24"/>
          <w:u w:val="single"/>
        </w:rPr>
        <w:t>_     _</w:t>
      </w:r>
      <w:r>
        <w:rPr>
          <w:rFonts w:hint="eastAsia" w:ascii="宋体" w:hAnsi="宋体"/>
          <w:spacing w:val="-6"/>
          <w:sz w:val="24"/>
          <w:szCs w:val="24"/>
        </w:rPr>
        <w:t xml:space="preserve">_（投标人名称）的法定代表人，现授权委托本单位在职职工 </w:t>
      </w:r>
      <w:r>
        <w:rPr>
          <w:rFonts w:hint="eastAsia" w:ascii="宋体" w:hAnsi="宋体"/>
          <w:spacing w:val="-6"/>
          <w:sz w:val="24"/>
          <w:szCs w:val="24"/>
          <w:u w:val="single"/>
        </w:rPr>
        <w:t xml:space="preserve">              </w:t>
      </w:r>
      <w:r>
        <w:rPr>
          <w:rFonts w:hint="eastAsia" w:ascii="宋体" w:hAnsi="宋体"/>
          <w:spacing w:val="-6"/>
          <w:sz w:val="24"/>
          <w:szCs w:val="24"/>
        </w:rPr>
        <w:t>（姓名）以我方的名义参加</w:t>
      </w:r>
      <w:r>
        <w:rPr>
          <w:rFonts w:hint="eastAsia" w:ascii="宋体" w:hAnsi="宋体"/>
          <w:spacing w:val="-6"/>
          <w:sz w:val="24"/>
          <w:szCs w:val="24"/>
          <w:u w:val="single"/>
          <w:lang w:val="en-US" w:eastAsia="zh-CN"/>
        </w:rPr>
        <w:t xml:space="preserve">       （项目名称）</w:t>
      </w:r>
      <w:r>
        <w:rPr>
          <w:rFonts w:hint="eastAsia" w:ascii="宋体" w:hAnsi="宋体" w:cs="宋体"/>
          <w:spacing w:val="-6"/>
          <w:sz w:val="24"/>
          <w:szCs w:val="24"/>
        </w:rPr>
        <w:t>的投</w:t>
      </w:r>
      <w:r>
        <w:rPr>
          <w:rFonts w:hint="eastAsia" w:ascii="宋体" w:hAnsi="宋体"/>
          <w:spacing w:val="-6"/>
          <w:sz w:val="24"/>
          <w:szCs w:val="24"/>
        </w:rPr>
        <w:t>标活动，并代表我方全权办理针对上述项目的投标、开标、磋商、签约等具体事务和签署相关文件。</w:t>
      </w:r>
    </w:p>
    <w:p>
      <w:pPr>
        <w:snapToGrid w:val="0"/>
        <w:spacing w:line="360" w:lineRule="auto"/>
        <w:rPr>
          <w:rFonts w:ascii="宋体" w:hAnsi="宋体"/>
          <w:spacing w:val="-6"/>
          <w:sz w:val="24"/>
          <w:szCs w:val="24"/>
        </w:rPr>
      </w:pPr>
      <w:r>
        <w:rPr>
          <w:rFonts w:hint="eastAsia" w:ascii="宋体" w:hAnsi="宋体"/>
          <w:spacing w:val="-6"/>
          <w:sz w:val="24"/>
          <w:szCs w:val="24"/>
        </w:rPr>
        <w:t xml:space="preserve">     我方对被授权人的签名负全部责任。</w:t>
      </w:r>
    </w:p>
    <w:p>
      <w:pPr>
        <w:snapToGrid w:val="0"/>
        <w:spacing w:line="360" w:lineRule="auto"/>
        <w:ind w:firstLine="480"/>
        <w:rPr>
          <w:rFonts w:ascii="宋体" w:hAnsi="宋体"/>
          <w:spacing w:val="-6"/>
          <w:sz w:val="24"/>
          <w:szCs w:val="24"/>
        </w:rPr>
      </w:pPr>
      <w:r>
        <w:rPr>
          <w:rFonts w:hint="eastAsia" w:ascii="宋体" w:hAnsi="宋体"/>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szCs w:val="24"/>
        </w:rPr>
      </w:pPr>
      <w:r>
        <w:rPr>
          <w:rFonts w:hint="eastAsia" w:ascii="宋体" w:hAnsi="宋体"/>
          <w:spacing w:val="-6"/>
          <w:sz w:val="24"/>
          <w:szCs w:val="24"/>
        </w:rPr>
        <w:t>被授权人无转委托权，特此委托。</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u w:val="single"/>
        </w:rPr>
      </w:pPr>
      <w:r>
        <w:rPr>
          <w:rFonts w:hint="eastAsia" w:ascii="宋体" w:hAnsi="宋体"/>
          <w:spacing w:val="-6"/>
          <w:sz w:val="24"/>
          <w:szCs w:val="24"/>
        </w:rPr>
        <w:t>被授权人签名：</w:t>
      </w:r>
      <w:r>
        <w:rPr>
          <w:rFonts w:hint="eastAsia" w:ascii="宋体" w:hAnsi="宋体"/>
          <w:spacing w:val="-6"/>
          <w:sz w:val="24"/>
          <w:szCs w:val="24"/>
          <w:u w:val="single"/>
        </w:rPr>
        <w:t xml:space="preserve">          </w:t>
      </w:r>
      <w:r>
        <w:rPr>
          <w:rFonts w:hint="eastAsia" w:ascii="宋体" w:hAnsi="宋体"/>
          <w:spacing w:val="-6"/>
          <w:sz w:val="24"/>
          <w:szCs w:val="24"/>
        </w:rPr>
        <w:t xml:space="preserve">                 法定代表人签名：</w:t>
      </w:r>
      <w:r>
        <w:rPr>
          <w:rFonts w:hint="eastAsia" w:ascii="宋体" w:hAnsi="宋体"/>
          <w:spacing w:val="-6"/>
          <w:sz w:val="24"/>
          <w:szCs w:val="24"/>
          <w:u w:val="single"/>
        </w:rPr>
        <w:t xml:space="preserve">          </w:t>
      </w:r>
    </w:p>
    <w:p>
      <w:pPr>
        <w:snapToGrid w:val="0"/>
        <w:spacing w:before="156" w:beforeLines="50" w:after="50" w:line="360" w:lineRule="auto"/>
        <w:ind w:firstLine="912" w:firstLineChars="400"/>
        <w:rPr>
          <w:rFonts w:ascii="宋体" w:hAnsi="宋体"/>
          <w:spacing w:val="-6"/>
          <w:sz w:val="24"/>
          <w:szCs w:val="24"/>
        </w:rPr>
      </w:pPr>
      <w:r>
        <w:rPr>
          <w:rFonts w:hint="eastAsia" w:ascii="宋体" w:hAnsi="宋体"/>
          <w:spacing w:val="-6"/>
          <w:sz w:val="24"/>
          <w:szCs w:val="24"/>
        </w:rPr>
        <w:t>职务：</w:t>
      </w:r>
      <w:r>
        <w:rPr>
          <w:rFonts w:hint="eastAsia" w:ascii="宋体" w:hAnsi="宋体"/>
          <w:spacing w:val="-6"/>
          <w:sz w:val="24"/>
          <w:szCs w:val="24"/>
          <w:u w:val="single"/>
        </w:rPr>
        <w:t xml:space="preserve">           </w:t>
      </w:r>
      <w:r>
        <w:rPr>
          <w:rFonts w:hint="eastAsia" w:ascii="宋体" w:hAnsi="宋体"/>
          <w:spacing w:val="-6"/>
          <w:sz w:val="24"/>
          <w:szCs w:val="24"/>
        </w:rPr>
        <w:t xml:space="preserve">                          职务：</w:t>
      </w:r>
      <w:r>
        <w:rPr>
          <w:rFonts w:hint="eastAsia" w:ascii="宋体" w:hAnsi="宋体"/>
          <w:spacing w:val="-6"/>
          <w:sz w:val="24"/>
          <w:szCs w:val="24"/>
          <w:u w:val="single"/>
        </w:rPr>
        <w:t xml:space="preserve">           </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rPr>
      </w:pPr>
      <w:r>
        <w:rPr>
          <w:rFonts w:hint="eastAsia" w:ascii="宋体" w:hAnsi="宋体"/>
          <w:spacing w:val="-6"/>
          <w:sz w:val="24"/>
          <w:szCs w:val="24"/>
        </w:rPr>
        <w:t xml:space="preserve">                                    投标人名称（盖章）：</w:t>
      </w:r>
    </w:p>
    <w:p>
      <w:pPr>
        <w:snapToGrid w:val="0"/>
        <w:spacing w:before="156" w:beforeLines="50" w:after="50" w:line="360" w:lineRule="auto"/>
        <w:jc w:val="center"/>
        <w:rPr>
          <w:rFonts w:ascii="宋体" w:hAnsi="宋体"/>
          <w:spacing w:val="-6"/>
          <w:sz w:val="24"/>
          <w:szCs w:val="24"/>
        </w:rPr>
      </w:pPr>
      <w:r>
        <w:rPr>
          <w:rFonts w:hint="eastAsia" w:ascii="宋体" w:hAnsi="宋体"/>
          <w:spacing w:val="-6"/>
          <w:sz w:val="24"/>
          <w:szCs w:val="24"/>
        </w:rPr>
        <w:t xml:space="preserve">                                        年    月    日</w:t>
      </w:r>
    </w:p>
    <w:p>
      <w:pPr>
        <w:spacing w:line="360" w:lineRule="auto"/>
        <w:rPr>
          <w:rFonts w:ascii="宋体" w:hAnsi="宋体"/>
          <w:spacing w:val="-6"/>
          <w:sz w:val="24"/>
          <w:szCs w:val="24"/>
        </w:rPr>
      </w:pPr>
      <w:r>
        <w:rPr>
          <w:rFonts w:ascii="宋体" w:hAnsi="宋体"/>
          <w:spacing w:val="-6"/>
          <w:sz w:val="24"/>
          <w:szCs w:val="24"/>
        </w:rPr>
        <mc:AlternateContent>
          <mc:Choice Requires="wps">
            <w:drawing>
              <wp:anchor distT="0" distB="0" distL="114300" distR="114300" simplePos="0" relativeHeight="251660288" behindDoc="0" locked="0" layoutInCell="1" allowOverlap="1">
                <wp:simplePos x="0" y="0"/>
                <wp:positionH relativeFrom="column">
                  <wp:posOffset>3108325</wp:posOffset>
                </wp:positionH>
                <wp:positionV relativeFrom="paragraph">
                  <wp:posOffset>148590</wp:posOffset>
                </wp:positionV>
                <wp:extent cx="3023235" cy="2360295"/>
                <wp:effectExtent l="4445" t="4445" r="20320" b="16510"/>
                <wp:wrapNone/>
                <wp:docPr id="2" name="文本框 4"/>
                <wp:cNvGraphicFramePr/>
                <a:graphic xmlns:a="http://schemas.openxmlformats.org/drawingml/2006/main">
                  <a:graphicData uri="http://schemas.microsoft.com/office/word/2010/wordprocessingShape">
                    <wps:wsp>
                      <wps:cNvSpPr txBox="1"/>
                      <wps:spPr>
                        <a:xfrm>
                          <a:off x="0" y="0"/>
                          <a:ext cx="302323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wps:txbx>
                      <wps:bodyPr wrap="square" upright="1"/>
                    </wps:wsp>
                  </a:graphicData>
                </a:graphic>
              </wp:anchor>
            </w:drawing>
          </mc:Choice>
          <mc:Fallback>
            <w:pict>
              <v:shape id="文本框 4" o:spid="_x0000_s1026" o:spt="202" type="#_x0000_t202" style="position:absolute;left:0pt;margin-left:244.75pt;margin-top:11.7pt;height:185.85pt;width:238.05pt;z-index:251660288;mso-width-relative:page;mso-height-relative:page;" fillcolor="#FFFFFF" filled="t" stroked="t"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B9HLvaAAAACgEAAA8A&#10;AAAAAAAAAQAgAAAAIgAAAGRycy9kb3ducmV2LnhtbFBLAQIUABQAAAAIAIdO4kCqtCPhFQIAAEUE&#10;AAAOAAAAAAAAAAEAIAAAACkBAABkcnMvZTJvRG9jLnhtbFBLBQYAAAAABgAGAFkBAACw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v:textbox>
              </v:shape>
            </w:pict>
          </mc:Fallback>
        </mc:AlternateContent>
      </w:r>
      <w:r>
        <w:rPr>
          <w:rFonts w:ascii="宋体" w:hAnsi="宋体"/>
          <w:spacing w:val="-6"/>
          <w:sz w:val="24"/>
          <w:szCs w:val="24"/>
        </w:rPr>
        <mc:AlternateContent>
          <mc:Choice Requires="wps">
            <w:drawing>
              <wp:anchor distT="0" distB="0" distL="114300" distR="114300" simplePos="0" relativeHeight="251659264" behindDoc="0" locked="0" layoutInCell="1" allowOverlap="1">
                <wp:simplePos x="0" y="0"/>
                <wp:positionH relativeFrom="column">
                  <wp:posOffset>-155575</wp:posOffset>
                </wp:positionH>
                <wp:positionV relativeFrom="paragraph">
                  <wp:posOffset>148590</wp:posOffset>
                </wp:positionV>
                <wp:extent cx="3062605" cy="2360295"/>
                <wp:effectExtent l="4445" t="4445" r="19050" b="16510"/>
                <wp:wrapNone/>
                <wp:docPr id="1" name="Text Box 3"/>
                <wp:cNvGraphicFramePr/>
                <a:graphic xmlns:a="http://schemas.openxmlformats.org/drawingml/2006/main">
                  <a:graphicData uri="http://schemas.microsoft.com/office/word/2010/wordprocessingShape">
                    <wps:wsp>
                      <wps:cNvSpPr txBox="1"/>
                      <wps:spPr>
                        <a:xfrm>
                          <a:off x="0" y="0"/>
                          <a:ext cx="306260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wps:txbx>
                      <wps:bodyPr wrap="square" upright="1"/>
                    </wps:wsp>
                  </a:graphicData>
                </a:graphic>
              </wp:anchor>
            </w:drawing>
          </mc:Choice>
          <mc:Fallback>
            <w:pict>
              <v:shape id="Text Box 3" o:spid="_x0000_s1026" o:spt="202" type="#_x0000_t202" style="position:absolute;left:0pt;margin-left:-12.25pt;margin-top:11.7pt;height:185.85pt;width:241.15pt;z-index:251659264;mso-width-relative:page;mso-height-relative:page;" fillcolor="#FFFFFF" filled="t" stroked="t"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&#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AuvSnZAAAACgEAAA8AAAAAAAAAAQAgAAAAIgAAAGRy&#10;cy9kb3ducmV2LnhtbFBLAQIUABQAAAAIAIdO4kCZS6dfBAIAAEQEAAAOAAAAAAAAAAEAIAAAACgB&#10;AABkcnMvZTJvRG9jLnhtbFBLBQYAAAAABgAGAFkBAACe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v:textbox>
              </v:shape>
            </w:pict>
          </mc:Fallback>
        </mc:AlternateContent>
      </w:r>
    </w:p>
    <w:p>
      <w:pPr>
        <w:spacing w:line="360" w:lineRule="auto"/>
        <w:rPr>
          <w:rFonts w:ascii="宋体" w:hAnsi="宋体"/>
          <w:spacing w:val="-6"/>
          <w:sz w:val="24"/>
          <w:szCs w:val="24"/>
        </w:rPr>
      </w:pPr>
    </w:p>
    <w:p>
      <w:pPr>
        <w:spacing w:line="360" w:lineRule="auto"/>
        <w:rPr>
          <w:rFonts w:ascii="宋体" w:hAnsi="宋体"/>
          <w:spacing w:val="-6"/>
          <w:sz w:val="24"/>
          <w:szCs w:val="24"/>
        </w:rPr>
      </w:pPr>
    </w:p>
    <w:p>
      <w:pPr>
        <w:adjustRightInd w:val="0"/>
        <w:snapToGrid w:val="0"/>
        <w:spacing w:line="300" w:lineRule="auto"/>
        <w:rPr>
          <w:rFonts w:ascii="宋体" w:hAnsi="宋体"/>
          <w:spacing w:val="-6"/>
          <w:sz w:val="24"/>
          <w:szCs w:val="24"/>
        </w:rPr>
      </w:pPr>
      <w:r>
        <w:rPr>
          <w:rFonts w:hint="eastAsia" w:ascii="宋体" w:hAnsi="宋体"/>
          <w:spacing w:val="-6"/>
          <w:sz w:val="24"/>
          <w:szCs w:val="24"/>
        </w:rPr>
        <w:t xml:space="preserve"> </w:t>
      </w:r>
    </w:p>
    <w:p>
      <w:pPr>
        <w:pStyle w:val="15"/>
        <w:snapToGrid w:val="0"/>
        <w:spacing w:beforeLines="0" w:afterLines="0" w:line="360" w:lineRule="auto"/>
        <w:jc w:val="left"/>
        <w:rPr>
          <w:rFonts w:hAnsi="宋体"/>
          <w:szCs w:val="24"/>
        </w:rPr>
      </w:pPr>
    </w:p>
    <w:p>
      <w:pPr>
        <w:pStyle w:val="15"/>
        <w:snapToGrid w:val="0"/>
        <w:spacing w:beforeLines="0" w:afterLines="0" w:line="360" w:lineRule="auto"/>
        <w:jc w:val="left"/>
        <w:rPr>
          <w:rFonts w:hAnsi="宋体"/>
          <w:szCs w:val="24"/>
        </w:rPr>
      </w:pPr>
    </w:p>
    <w:p>
      <w:pPr>
        <w:pStyle w:val="15"/>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rPr>
      </w:pPr>
      <w:r>
        <w:rPr>
          <w:rFonts w:hint="eastAsia" w:ascii="宋体" w:hAnsi="宋体"/>
          <w:b/>
          <w:spacing w:val="-6"/>
          <w:sz w:val="24"/>
        </w:rPr>
        <w:t>投标人一般情况表</w:t>
      </w:r>
    </w:p>
    <w:tbl>
      <w:tblPr>
        <w:tblStyle w:val="28"/>
        <w:tblpPr w:leftFromText="180" w:rightFromText="180" w:vertAnchor="text" w:horzAnchor="page" w:tblpX="1836" w:tblpY="357"/>
        <w:tblOverlap w:val="never"/>
        <w:tblW w:w="88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2</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3</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4</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电话：</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5</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传真：</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6</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注册地：</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7</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8</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9</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作为承包人经历年数：</w:t>
            </w:r>
          </w:p>
        </w:tc>
        <w:tc>
          <w:tcPr>
            <w:tcW w:w="5627" w:type="dxa"/>
            <w:gridSpan w:val="2"/>
            <w:noWrap w:val="0"/>
            <w:vAlign w:val="center"/>
          </w:tcPr>
          <w:p>
            <w:pPr>
              <w:spacing w:line="360" w:lineRule="auto"/>
              <w:rPr>
                <w:rFonts w:ascii="宋体"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10</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其他需要说明的情况</w:t>
            </w:r>
          </w:p>
        </w:tc>
        <w:tc>
          <w:tcPr>
            <w:tcW w:w="5627" w:type="dxa"/>
            <w:gridSpan w:val="2"/>
            <w:noWrap w:val="0"/>
            <w:vAlign w:val="center"/>
          </w:tcPr>
          <w:p>
            <w:pPr>
              <w:spacing w:line="360" w:lineRule="auto"/>
              <w:rPr>
                <w:rFonts w:ascii="宋体" w:hAnsi="宋体"/>
                <w:spacing w:val="-6"/>
                <w:sz w:val="24"/>
                <w:szCs w:val="24"/>
              </w:rPr>
            </w:pPr>
          </w:p>
          <w:p>
            <w:pPr>
              <w:spacing w:line="360" w:lineRule="auto"/>
              <w:rPr>
                <w:rFonts w:ascii="宋体" w:hAnsi="宋体"/>
                <w:spacing w:val="-6"/>
                <w:sz w:val="24"/>
                <w:szCs w:val="24"/>
              </w:rPr>
            </w:pPr>
          </w:p>
          <w:p>
            <w:pPr>
              <w:spacing w:line="360" w:lineRule="auto"/>
              <w:rPr>
                <w:rFonts w:ascii="宋体" w:hAnsi="宋体"/>
                <w:spacing w:val="-6"/>
                <w:sz w:val="24"/>
                <w:szCs w:val="24"/>
              </w:rPr>
            </w:pPr>
          </w:p>
        </w:tc>
      </w:tr>
    </w:tbl>
    <w:p>
      <w:pPr>
        <w:spacing w:line="360" w:lineRule="auto"/>
        <w:rPr>
          <w:rFonts w:ascii="宋体" w:hAnsi="宋体"/>
          <w:spacing w:val="-6"/>
        </w:rPr>
      </w:pPr>
    </w:p>
    <w:p>
      <w:pPr>
        <w:spacing w:line="360" w:lineRule="auto"/>
        <w:ind w:firstLine="573"/>
        <w:rPr>
          <w:rFonts w:ascii="宋体" w:hAnsi="宋体"/>
          <w:spacing w:val="-6"/>
          <w:sz w:val="24"/>
          <w:szCs w:val="24"/>
        </w:rPr>
      </w:pPr>
    </w:p>
    <w:p>
      <w:pPr>
        <w:spacing w:line="360" w:lineRule="auto"/>
        <w:ind w:firstLine="228" w:firstLineChars="100"/>
        <w:rPr>
          <w:rFonts w:hint="eastAsia" w:ascii="宋体" w:hAnsi="宋体"/>
          <w:spacing w:val="-6"/>
          <w:sz w:val="24"/>
          <w:szCs w:val="24"/>
        </w:rPr>
      </w:pPr>
      <w:r>
        <w:rPr>
          <w:rFonts w:hint="eastAsia" w:ascii="宋体" w:hAnsi="宋体"/>
          <w:spacing w:val="-6"/>
          <w:sz w:val="24"/>
          <w:szCs w:val="24"/>
        </w:rPr>
        <w:t>说明：所有投标申请人都须填写此表。</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ind w:left="540" w:firstLine="30"/>
        <w:jc w:val="center"/>
        <w:rPr>
          <w:rFonts w:ascii="宋体" w:hAnsi="宋体"/>
          <w:spacing w:val="-6"/>
          <w:sz w:val="24"/>
          <w:szCs w:val="24"/>
        </w:rPr>
      </w:pPr>
      <w:r>
        <w:rPr>
          <w:rFonts w:hint="eastAsia" w:ascii="宋体" w:hAnsi="宋体"/>
          <w:spacing w:val="-6"/>
          <w:sz w:val="24"/>
          <w:szCs w:val="24"/>
        </w:rPr>
        <w:t xml:space="preserve">           授权代表签字：</w:t>
      </w:r>
    </w:p>
    <w:p>
      <w:pPr>
        <w:spacing w:line="360" w:lineRule="auto"/>
        <w:ind w:left="540" w:firstLine="5068"/>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投标人名称（盖章）：</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日期：    年   月  日</w:t>
      </w:r>
    </w:p>
    <w:p>
      <w:pPr>
        <w:pStyle w:val="15"/>
        <w:snapToGrid w:val="0"/>
        <w:spacing w:beforeLines="0" w:afterLines="0" w:line="360" w:lineRule="auto"/>
        <w:jc w:val="left"/>
        <w:rPr>
          <w:rFonts w:hAnsi="宋体"/>
          <w:szCs w:val="24"/>
        </w:rPr>
      </w:pPr>
    </w:p>
    <w:p>
      <w:pPr>
        <w:pStyle w:val="15"/>
        <w:snapToGrid w:val="0"/>
        <w:spacing w:beforeLines="0" w:afterLines="0" w:line="360" w:lineRule="auto"/>
        <w:jc w:val="left"/>
        <w:rPr>
          <w:rFonts w:hAnsi="宋体"/>
          <w:spacing w:val="-6"/>
        </w:rPr>
      </w:pPr>
      <w:r>
        <w:rPr>
          <w:rFonts w:hint="eastAsia" w:hAnsi="宋体"/>
          <w:spacing w:val="-6"/>
        </w:rPr>
        <w:t xml:space="preserve"> </w:t>
      </w:r>
    </w:p>
    <w:p>
      <w:pPr>
        <w:pStyle w:val="40"/>
        <w:ind w:firstLine="0" w:firstLineChars="0"/>
        <w:rPr>
          <w:rFonts w:hint="eastAsia" w:hAnsi="宋体" w:eastAsia="宋体"/>
          <w:sz w:val="24"/>
          <w:szCs w:val="24"/>
        </w:rPr>
      </w:pPr>
    </w:p>
    <w:bookmarkEnd w:id="125"/>
    <w:p>
      <w:pPr>
        <w:jc w:val="center"/>
        <w:rPr>
          <w:rStyle w:val="66"/>
          <w:rFonts w:ascii="华文中宋" w:hAnsi="华文中宋" w:eastAsia="华文中宋"/>
          <w:b w:val="0"/>
          <w:color w:val="auto"/>
          <w:sz w:val="28"/>
          <w:szCs w:val="28"/>
        </w:rPr>
      </w:pPr>
      <w:bookmarkStart w:id="126" w:name="_Toc120614283"/>
      <w:bookmarkStart w:id="127" w:name="_Toc460901585"/>
      <w:bookmarkStart w:id="128" w:name="_Toc22356580"/>
      <w:bookmarkStart w:id="129" w:name="_Toc49090577"/>
      <w:bookmarkStart w:id="130" w:name="_Toc513029276"/>
      <w:bookmarkStart w:id="131" w:name="_Toc23828478"/>
      <w:bookmarkStart w:id="132" w:name="_Toc26554095"/>
      <w:r>
        <w:rPr>
          <w:rFonts w:hint="eastAsia" w:ascii="华文中宋" w:hAnsi="华文中宋" w:eastAsia="华文中宋"/>
          <w:b/>
          <w:spacing w:val="-6"/>
          <w:szCs w:val="28"/>
        </w:rPr>
        <w:t>四、</w:t>
      </w:r>
      <w:r>
        <w:rPr>
          <w:rStyle w:val="66"/>
          <w:rFonts w:hint="eastAsia" w:ascii="华文中宋" w:hAnsi="华文中宋" w:eastAsia="华文中宋"/>
          <w:color w:val="auto"/>
          <w:sz w:val="28"/>
          <w:szCs w:val="28"/>
        </w:rPr>
        <w:t>磋商函格式</w:t>
      </w:r>
    </w:p>
    <w:bookmarkEnd w:id="126"/>
    <w:bookmarkEnd w:id="127"/>
    <w:bookmarkEnd w:id="128"/>
    <w:bookmarkEnd w:id="129"/>
    <w:bookmarkEnd w:id="130"/>
    <w:bookmarkEnd w:id="131"/>
    <w:bookmarkEnd w:id="132"/>
    <w:p>
      <w:pPr>
        <w:tabs>
          <w:tab w:val="left" w:pos="5580"/>
        </w:tabs>
        <w:spacing w:line="480" w:lineRule="exact"/>
        <w:rPr>
          <w:rStyle w:val="66"/>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hAnsi="宋体" w:eastAsia="仿宋_GB2312"/>
          <w:kern w:val="0"/>
          <w:sz w:val="24"/>
          <w:szCs w:val="24"/>
        </w:rPr>
        <w:t>皖南医学院</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ind w:firstLine="480" w:firstLineChars="200"/>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ind w:firstLine="480" w:firstLineChars="200"/>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ind w:firstLine="480" w:firstLineChars="200"/>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ind w:firstLine="480" w:firstLineChars="200"/>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ind w:firstLine="480" w:firstLineChars="200"/>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ind w:firstLine="480" w:firstLineChars="200"/>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ind w:firstLine="480" w:firstLineChars="200"/>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ind w:firstLine="480" w:firstLineChars="200"/>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ind w:firstLine="480" w:firstLineChars="200"/>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ind w:firstLine="480" w:firstLineChars="200"/>
        <w:rPr>
          <w:rFonts w:ascii="仿宋_GB2312" w:hAnsi="宋体" w:eastAsia="仿宋_GB2312"/>
          <w:sz w:val="24"/>
          <w:szCs w:val="24"/>
        </w:rPr>
      </w:pPr>
      <w:r>
        <w:rPr>
          <w:rFonts w:hint="eastAsia" w:ascii="仿宋_GB2312" w:hAnsi="宋体" w:eastAsia="仿宋_GB2312"/>
          <w:sz w:val="24"/>
          <w:szCs w:val="24"/>
        </w:rPr>
        <w:t>地址：</w:t>
      </w:r>
    </w:p>
    <w:p>
      <w:pPr>
        <w:ind w:firstLine="480" w:firstLineChars="200"/>
        <w:rPr>
          <w:rFonts w:ascii="仿宋_GB2312" w:hAnsi="宋体" w:eastAsia="仿宋_GB2312"/>
          <w:sz w:val="24"/>
          <w:szCs w:val="24"/>
        </w:rPr>
      </w:pPr>
      <w:r>
        <w:rPr>
          <w:rFonts w:hint="eastAsia" w:ascii="仿宋_GB2312" w:hAnsi="宋体" w:eastAsia="仿宋_GB2312"/>
          <w:sz w:val="24"/>
          <w:szCs w:val="24"/>
        </w:rPr>
        <w:t>邮编：</w:t>
      </w:r>
    </w:p>
    <w:p>
      <w:pPr>
        <w:ind w:firstLine="480" w:firstLineChars="200"/>
        <w:rPr>
          <w:rFonts w:ascii="仿宋_GB2312" w:hAnsi="宋体" w:eastAsia="仿宋_GB2312"/>
          <w:sz w:val="24"/>
          <w:szCs w:val="24"/>
        </w:rPr>
      </w:pPr>
      <w:r>
        <w:rPr>
          <w:rFonts w:hint="eastAsia" w:ascii="仿宋_GB2312" w:hAnsi="宋体" w:eastAsia="仿宋_GB2312"/>
          <w:sz w:val="24"/>
          <w:szCs w:val="24"/>
        </w:rPr>
        <w:t>电话：</w:t>
      </w:r>
    </w:p>
    <w:p>
      <w:pPr>
        <w:ind w:firstLine="480" w:firstLineChars="200"/>
        <w:rPr>
          <w:rFonts w:ascii="仿宋_GB2312" w:hAnsi="宋体" w:eastAsia="仿宋_GB2312"/>
          <w:sz w:val="24"/>
          <w:szCs w:val="24"/>
        </w:rPr>
      </w:pPr>
      <w:r>
        <w:rPr>
          <w:rFonts w:hint="eastAsia" w:ascii="仿宋_GB2312" w:hAnsi="宋体" w:eastAsia="仿宋_GB2312"/>
          <w:sz w:val="24"/>
          <w:szCs w:val="24"/>
        </w:rPr>
        <w:t>传真：</w:t>
      </w:r>
    </w:p>
    <w:p>
      <w:pPr>
        <w:ind w:firstLine="480" w:firstLineChars="200"/>
        <w:rPr>
          <w:rFonts w:ascii="仿宋_GB2312" w:hAnsi="宋体" w:eastAsia="仿宋_GB2312"/>
          <w:sz w:val="24"/>
          <w:szCs w:val="24"/>
        </w:rPr>
      </w:pPr>
      <w:r>
        <w:rPr>
          <w:rFonts w:hint="eastAsia" w:ascii="仿宋_GB2312" w:hAnsi="宋体" w:eastAsia="仿宋_GB2312"/>
          <w:sz w:val="24"/>
          <w:szCs w:val="24"/>
        </w:rPr>
        <w:t>供应商开户行：</w:t>
      </w: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ind w:firstLine="480" w:firstLineChars="200"/>
        <w:rPr>
          <w:rFonts w:ascii="仿宋_GB2312" w:hAnsi="宋体" w:eastAsia="仿宋_GB2312"/>
          <w:i/>
          <w:sz w:val="24"/>
          <w:szCs w:val="24"/>
          <w:u w:val="single"/>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numPr>
          <w:ilvl w:val="0"/>
          <w:numId w:val="3"/>
        </w:numPr>
        <w:rPr>
          <w:rFonts w:hint="eastAsia" w:ascii="仿宋_GB2312" w:eastAsia="仿宋_GB2312"/>
          <w:b/>
          <w:bCs/>
          <w:sz w:val="28"/>
          <w:szCs w:val="28"/>
        </w:rPr>
      </w:pPr>
      <w:r>
        <w:rPr>
          <w:rFonts w:hint="eastAsia" w:ascii="仿宋_GB2312" w:eastAsia="仿宋_GB2312"/>
          <w:b/>
          <w:bCs/>
          <w:sz w:val="28"/>
          <w:szCs w:val="28"/>
        </w:rPr>
        <w:t>投标文件须包含分部分项工程量清单综合单价分析表等《建设工程工程量清单计价规范》(GB 50500-2013）中要求提供的文件。</w:t>
      </w:r>
    </w:p>
    <w:p>
      <w:pPr>
        <w:numPr>
          <w:ilvl w:val="0"/>
          <w:numId w:val="3"/>
        </w:numPr>
        <w:rPr>
          <w:rFonts w:ascii="仿宋_GB2312" w:eastAsia="仿宋_GB2312"/>
          <w:b/>
          <w:bCs/>
          <w:sz w:val="28"/>
          <w:szCs w:val="28"/>
        </w:rPr>
      </w:pPr>
      <w:r>
        <w:rPr>
          <w:rFonts w:hint="eastAsia" w:ascii="仿宋_GB2312" w:eastAsia="仿宋_GB2312"/>
          <w:b/>
          <w:bCs/>
          <w:sz w:val="28"/>
          <w:szCs w:val="28"/>
        </w:rPr>
        <w:t>施工组织设计（主要但不限于</w:t>
      </w:r>
      <w:r>
        <w:rPr>
          <w:rFonts w:hint="eastAsia" w:ascii="仿宋_GB2312" w:hAnsi="宋体" w:eastAsia="仿宋_GB2312"/>
          <w:b/>
          <w:bCs/>
          <w:sz w:val="28"/>
          <w:szCs w:val="28"/>
        </w:rPr>
        <w:t>施工组织机构和人员组成、施工进度计划、施工质量和安全保证体系等</w:t>
      </w:r>
      <w:r>
        <w:rPr>
          <w:rFonts w:hint="eastAsia" w:ascii="仿宋_GB2312" w:eastAsia="仿宋_GB2312"/>
          <w:b/>
          <w:bCs/>
          <w:sz w:val="28"/>
          <w:szCs w:val="28"/>
        </w:rPr>
        <w:t>）</w:t>
      </w:r>
    </w:p>
    <w:p>
      <w:pPr>
        <w:rPr>
          <w:rFonts w:ascii="仿宋_GB2312" w:eastAsia="仿宋_GB2312"/>
          <w:b/>
          <w:bCs/>
          <w:sz w:val="28"/>
          <w:szCs w:val="28"/>
        </w:rPr>
      </w:pPr>
      <w:r>
        <w:rPr>
          <w:rFonts w:hint="eastAsia" w:ascii="仿宋_GB2312" w:eastAsia="仿宋_GB2312"/>
          <w:b/>
          <w:bCs/>
          <w:sz w:val="28"/>
          <w:szCs w:val="28"/>
        </w:rPr>
        <w:t>七、</w:t>
      </w:r>
      <w:r>
        <w:rPr>
          <w:rFonts w:hint="eastAsia" w:ascii="仿宋_GB2312" w:hAnsi="宋体" w:eastAsia="仿宋_GB2312"/>
          <w:b/>
          <w:bCs/>
          <w:sz w:val="28"/>
          <w:szCs w:val="28"/>
        </w:rPr>
        <w:t>业绩、售后服务、所投主要产品品牌等</w:t>
      </w:r>
      <w:r>
        <w:rPr>
          <w:rFonts w:hint="eastAsia" w:ascii="仿宋_GB2312" w:eastAsia="仿宋_GB2312"/>
          <w:b/>
          <w:bCs/>
          <w:sz w:val="28"/>
          <w:szCs w:val="28"/>
        </w:rPr>
        <w:t>投标人需要提供的其它材料</w:t>
      </w:r>
    </w:p>
    <w:p>
      <w:pPr>
        <w:rPr>
          <w:rFonts w:ascii="仿宋_GB2312" w:eastAsia="仿宋_GB2312"/>
          <w:sz w:val="24"/>
          <w:szCs w:val="24"/>
          <w:highlight w:val="yellow"/>
        </w:rPr>
      </w:pPr>
    </w:p>
    <w:p>
      <w:pPr>
        <w:rPr>
          <w:rFonts w:hint="eastAsia" w:ascii="宋体" w:hAnsi="宋体"/>
          <w:b/>
          <w:sz w:val="24"/>
          <w:szCs w:val="24"/>
          <w:highlight w:val="yellow"/>
        </w:rPr>
      </w:pPr>
    </w:p>
    <w:p>
      <w:pPr>
        <w:rPr>
          <w:rFonts w:hint="eastAsia" w:ascii="宋体" w:hAnsi="宋体"/>
          <w:b/>
          <w:sz w:val="24"/>
          <w:szCs w:val="24"/>
          <w:highlight w:val="yellow"/>
        </w:rPr>
      </w:pPr>
    </w:p>
    <w:p>
      <w:pPr>
        <w:rPr>
          <w:rFonts w:ascii="宋体" w:hAnsi="宋体"/>
          <w:b/>
          <w:sz w:val="24"/>
          <w:szCs w:val="24"/>
        </w:rPr>
      </w:pPr>
      <w:r>
        <w:rPr>
          <w:rFonts w:hint="eastAsia" w:ascii="宋体" w:hAnsi="宋体"/>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3"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3"/>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学校采购活动质疑和投诉行为，确保采购活动公平竞争、合理运转，保护参加学校采购活动当事人的合法权益，根据《中华人民共和国政府采购法》、《中华人民共和国政府采购法实施条例》、《政府采购质疑和投诉办法》（财政部令第94号）和安徽省政府有关文件精神，结合学校实际，制定本办法。</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本办法适用于</w:t>
      </w:r>
      <w:bookmarkStart w:id="134" w:name="OLE_LINK2"/>
      <w:bookmarkStart w:id="135" w:name="OLE_LINK3"/>
      <w:bookmarkStart w:id="136" w:name="OLE_LINK1"/>
      <w:r>
        <w:rPr>
          <w:rFonts w:hint="eastAsia" w:ascii="仿宋_GB2312" w:hAnsi="宋体" w:eastAsia="仿宋_GB2312" w:cs="宋体"/>
          <w:sz w:val="24"/>
          <w:szCs w:val="24"/>
        </w:rPr>
        <w:t>学校采购活动</w:t>
      </w:r>
      <w:bookmarkEnd w:id="134"/>
      <w:bookmarkEnd w:id="135"/>
      <w:bookmarkEnd w:id="136"/>
      <w:r>
        <w:rPr>
          <w:rFonts w:hint="eastAsia" w:ascii="仿宋_GB2312" w:hAnsi="宋体" w:eastAsia="仿宋_GB2312" w:cs="宋体"/>
          <w:sz w:val="24"/>
          <w:szCs w:val="24"/>
        </w:rPr>
        <w:t>质疑的提出和答复、投诉的提起和处理。</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第三条</w:t>
      </w:r>
      <w:r>
        <w:rPr>
          <w:rFonts w:hint="eastAsia" w:ascii="仿宋_GB2312" w:eastAsia="仿宋_GB2312"/>
          <w:sz w:val="24"/>
          <w:szCs w:val="24"/>
        </w:rPr>
        <w:t xml:space="preserve">  学校政府采购中的集中采购和分散采购项目质疑的提出与答复和投诉的提起与处理遵照《政府采购质疑和投诉办法》（财政部令第94号）和安徽省有关规定执行，上级政策如有调整，按最新政策规定执行。</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第四条</w:t>
      </w:r>
      <w:r>
        <w:rPr>
          <w:rFonts w:hint="eastAsia" w:ascii="仿宋_GB2312" w:hAnsi="宋体" w:eastAsia="仿宋_GB2312" w:cs="宋体"/>
          <w:sz w:val="24"/>
          <w:szCs w:val="24"/>
        </w:rPr>
        <w:t xml:space="preserve">  供应商提出质疑和投诉应当坚持依法依规、诚实信用原则。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第五条</w:t>
      </w:r>
      <w:r>
        <w:rPr>
          <w:rFonts w:hint="eastAsia" w:ascii="仿宋_GB2312" w:hAnsi="宋体" w:eastAsia="仿宋_GB2312" w:cs="宋体"/>
          <w:sz w:val="24"/>
          <w:szCs w:val="24"/>
        </w:rPr>
        <w:t xml:space="preserve">  采购质疑答复和投诉处理应当坚持依法依规、权责对等、公平公正、简便高效原则。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第六条</w:t>
      </w:r>
      <w:r>
        <w:rPr>
          <w:rFonts w:hint="eastAsia" w:ascii="仿宋_GB2312" w:hAnsi="宋体" w:eastAsia="仿宋_GB2312" w:cs="宋体"/>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学校监察处负责接受和处理校内自主采购项目的投诉。</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第七条</w:t>
      </w:r>
      <w:r>
        <w:rPr>
          <w:rFonts w:hint="eastAsia" w:ascii="仿宋_GB2312" w:hAnsi="宋体" w:eastAsia="仿宋_GB2312" w:cs="宋体"/>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第八条</w:t>
      </w:r>
      <w:r>
        <w:rPr>
          <w:rFonts w:hint="eastAsia" w:ascii="仿宋_GB2312" w:hAnsi="宋体" w:eastAsia="仿宋_GB2312" w:cs="宋体"/>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代理人提出质疑和投诉，应当提交供应商签署的授权委托书。</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第九条</w:t>
      </w:r>
      <w:r>
        <w:rPr>
          <w:rFonts w:hint="eastAsia" w:ascii="仿宋_GB2312" w:hAnsi="宋体" w:eastAsia="仿宋_GB2312" w:cs="宋体"/>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hAnsi="宋体" w:eastAsia="仿宋_GB2312" w:cs="宋体"/>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hAnsi="宋体" w:eastAsia="仿宋_GB2312" w:cs="宋体"/>
          <w:sz w:val="30"/>
          <w:szCs w:val="30"/>
        </w:rPr>
      </w:pP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37" w:name="OLE_LINK5"/>
      <w:bookmarkStart w:id="138" w:name="OLE_LINK4"/>
      <w:bookmarkStart w:id="139" w:name="OLE_LINK7"/>
      <w:bookmarkStart w:id="140" w:name="OLE_LINK6"/>
      <w:bookmarkStart w:id="141" w:name="OLE_LINK8"/>
      <w:bookmarkStart w:id="142" w:name="OLE_LINK9"/>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bookmarkEnd w:id="137"/>
      <w:bookmarkEnd w:id="138"/>
      <w:bookmarkEnd w:id="139"/>
      <w:bookmarkEnd w:id="140"/>
      <w:bookmarkEnd w:id="141"/>
      <w:bookmarkEnd w:id="142"/>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第十一条</w:t>
      </w:r>
      <w:r>
        <w:rPr>
          <w:rFonts w:hint="eastAsia" w:ascii="仿宋_GB2312" w:eastAsia="仿宋_GB2312"/>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sz w:val="24"/>
          <w:szCs w:val="24"/>
        </w:rPr>
        <w:t>，提出质疑的供应商（以下简称质疑供应商）应当是参与所质疑项目采购活动的供应商。</w:t>
      </w:r>
    </w:p>
    <w:p>
      <w:pPr>
        <w:spacing w:line="560" w:lineRule="exact"/>
        <w:ind w:firstLine="480" w:firstLineChars="200"/>
        <w:rPr>
          <w:rFonts w:ascii="仿宋_GB2312" w:hAnsi="宋体" w:eastAsia="仿宋_GB2312"/>
          <w:sz w:val="24"/>
          <w:szCs w:val="24"/>
        </w:rPr>
      </w:pPr>
      <w:r>
        <w:rPr>
          <w:rFonts w:hint="eastAsia" w:ascii="仿宋_GB2312" w:hAnsi="宋体" w:eastAsia="仿宋_GB2312"/>
          <w:sz w:val="24"/>
          <w:szCs w:val="24"/>
        </w:rPr>
        <w:t xml:space="preserve">潜在供应商已依法依规获取其可质疑的采购文件的，可以对该文件提出质疑。对采购文件提出质疑的，应当在采购文件规定的时间内提出。 </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微软雅黑" w:eastAsia="仿宋_GB2312"/>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hAnsi="宋体" w:eastAsia="仿宋_GB2312" w:cs="宋体"/>
          <w:sz w:val="24"/>
          <w:szCs w:val="24"/>
        </w:rPr>
        <w:t>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w:t>
      </w:r>
      <w:r>
        <w:rPr>
          <w:rFonts w:hint="eastAsia" w:ascii="仿宋_GB2312" w:hAnsi="微软雅黑" w:eastAsia="仿宋_GB2312"/>
          <w:sz w:val="24"/>
          <w:szCs w:val="24"/>
        </w:rPr>
        <w:t>中</w:t>
      </w:r>
      <w:r>
        <w:rPr>
          <w:rFonts w:hint="eastAsia" w:ascii="仿宋_GB2312" w:hAnsi="宋体" w:eastAsia="仿宋_GB2312"/>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质疑答复应当包括下列内容：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hAnsi="宋体" w:eastAsia="仿宋_GB2312" w:cs="宋体"/>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hAnsi="宋体" w:eastAsia="仿宋_GB2312" w:cs="宋体"/>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hAnsi="宋体" w:eastAsia="仿宋_GB2312"/>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3" w:name="OLE_LINK78"/>
      <w:bookmarkStart w:id="144" w:name="OLE_LINK77"/>
      <w:bookmarkStart w:id="145" w:name="OLE_LINK76"/>
      <w:r>
        <w:rPr>
          <w:rFonts w:hint="eastAsia" w:ascii="仿宋_GB2312" w:hAnsi="微软雅黑" w:eastAsia="仿宋_GB2312"/>
          <w:sz w:val="24"/>
          <w:szCs w:val="24"/>
        </w:rPr>
        <w:t>国资处、采购代理机构</w:t>
      </w:r>
      <w:bookmarkEnd w:id="143"/>
      <w:bookmarkEnd w:id="144"/>
      <w:bookmarkEnd w:id="145"/>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学校自主采购活动中，</w:t>
      </w:r>
      <w:r>
        <w:rPr>
          <w:rFonts w:hint="eastAsia" w:ascii="仿宋_GB2312" w:hAnsi="微软雅黑" w:eastAsia="仿宋_GB2312"/>
          <w:sz w:val="24"/>
          <w:szCs w:val="24"/>
        </w:rPr>
        <w:t>投诉人投诉时,应当提交投诉书和必要的证明材料。投诉书应当包括下列内容：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25"/>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25"/>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31"/>
          <w:rFonts w:hint="eastAsia" w:ascii="黑体" w:hAnsi="黑体" w:eastAsia="黑体"/>
          <w:sz w:val="30"/>
          <w:szCs w:val="30"/>
        </w:rPr>
        <w:t xml:space="preserve">第五章 </w:t>
      </w:r>
      <w:r>
        <w:rPr>
          <w:rStyle w:val="31"/>
          <w:rFonts w:hint="eastAsia" w:ascii="微软雅黑" w:hAnsi="微软雅黑" w:eastAsia="黑体"/>
          <w:sz w:val="30"/>
          <w:szCs w:val="30"/>
        </w:rPr>
        <w:t> </w:t>
      </w:r>
      <w:r>
        <w:rPr>
          <w:rStyle w:val="31"/>
          <w:rFonts w:hint="eastAsia" w:ascii="黑体" w:hAnsi="黑体" w:eastAsia="黑体"/>
          <w:sz w:val="30"/>
          <w:szCs w:val="30"/>
        </w:rPr>
        <w:t>投诉的处理</w:t>
      </w:r>
    </w:p>
    <w:p>
      <w:pPr>
        <w:pStyle w:val="25"/>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46" w:name="OLE_LINK11"/>
      <w:bookmarkStart w:id="147" w:name="OLE_LINK12"/>
      <w:bookmarkStart w:id="148" w:name="OLE_LINK13"/>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6"/>
      <w:bookmarkEnd w:id="147"/>
      <w:bookmarkEnd w:id="148"/>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49" w:name="OLE_LINK15"/>
      <w:bookmarkStart w:id="150" w:name="OLE_LINK14"/>
      <w:r>
        <w:rPr>
          <w:rFonts w:hint="eastAsia" w:ascii="仿宋_GB2312" w:hAnsi="微软雅黑" w:eastAsia="仿宋_GB2312"/>
          <w:sz w:val="24"/>
          <w:szCs w:val="24"/>
        </w:rPr>
        <w:t>（一）未确定中标或者成交供应商的，责令重新开展采购活动。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49"/>
    <w:bookmarkEnd w:id="150"/>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25"/>
        <w:shd w:val="clear" w:color="auto" w:fill="FFFFFF"/>
        <w:adjustRightInd w:val="0"/>
        <w:snapToGrid w:val="0"/>
        <w:spacing w:before="0" w:beforeAutospacing="0" w:after="0" w:afterAutospacing="0" w:line="560" w:lineRule="exact"/>
        <w:jc w:val="center"/>
        <w:rPr>
          <w:rStyle w:val="31"/>
          <w:rFonts w:ascii="仿宋_GB2312" w:hAnsi="微软雅黑" w:eastAsia="仿宋_GB2312"/>
          <w:sz w:val="24"/>
          <w:szCs w:val="24"/>
        </w:rPr>
      </w:pPr>
    </w:p>
    <w:p>
      <w:pPr>
        <w:pStyle w:val="25"/>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31"/>
          <w:rFonts w:hint="eastAsia" w:ascii="黑体" w:hAnsi="黑体" w:eastAsia="黑体"/>
          <w:sz w:val="30"/>
          <w:szCs w:val="30"/>
        </w:rPr>
        <w:t xml:space="preserve">第六章 </w:t>
      </w:r>
      <w:r>
        <w:rPr>
          <w:rStyle w:val="31"/>
          <w:rFonts w:hint="eastAsia" w:ascii="微软雅黑" w:hAnsi="微软雅黑" w:eastAsia="黑体"/>
          <w:sz w:val="30"/>
          <w:szCs w:val="30"/>
        </w:rPr>
        <w:t> </w:t>
      </w:r>
      <w:r>
        <w:rPr>
          <w:rStyle w:val="31"/>
          <w:rFonts w:hint="eastAsia" w:ascii="黑体" w:hAnsi="黑体" w:eastAsia="黑体"/>
          <w:sz w:val="30"/>
          <w:szCs w:val="30"/>
        </w:rPr>
        <w:t>法律责任</w:t>
      </w:r>
    </w:p>
    <w:p>
      <w:pPr>
        <w:pStyle w:val="25"/>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31"/>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1" w:name="OLE_LINK17"/>
      <w:bookmarkStart w:id="152" w:name="OLE_LINK18"/>
      <w:bookmarkStart w:id="153" w:name="OLE_LINK16"/>
      <w:r>
        <w:rPr>
          <w:rFonts w:hint="eastAsia" w:ascii="仿宋_GB2312" w:hAnsi="宋体" w:eastAsia="仿宋_GB2312" w:cs="宋体"/>
          <w:sz w:val="24"/>
          <w:szCs w:val="24"/>
        </w:rPr>
        <w:t>规</w:t>
      </w:r>
      <w:bookmarkEnd w:id="151"/>
      <w:bookmarkEnd w:id="152"/>
      <w:bookmarkEnd w:id="153"/>
      <w:r>
        <w:rPr>
          <w:rFonts w:hint="eastAsia" w:ascii="仿宋_GB2312" w:hAnsi="宋体" w:eastAsia="仿宋_GB2312" w:cs="宋体"/>
          <w:sz w:val="24"/>
          <w:szCs w:val="24"/>
        </w:rPr>
        <w:t>追究其相应责任。</w:t>
      </w:r>
    </w:p>
    <w:p>
      <w:pPr>
        <w:pStyle w:val="25"/>
        <w:shd w:val="clear" w:color="auto" w:fill="FFFFFF"/>
        <w:adjustRightInd w:val="0"/>
        <w:snapToGrid w:val="0"/>
        <w:spacing w:before="0" w:beforeAutospacing="0" w:after="0" w:afterAutospacing="0" w:line="560" w:lineRule="exact"/>
        <w:ind w:firstLine="482" w:firstLineChars="200"/>
        <w:jc w:val="both"/>
        <w:rPr>
          <w:rStyle w:val="31"/>
          <w:rFonts w:ascii="仿宋_GB2312" w:hAnsi="微软雅黑" w:eastAsia="仿宋_GB2312"/>
          <w:sz w:val="24"/>
          <w:szCs w:val="24"/>
        </w:rPr>
      </w:pPr>
      <w:r>
        <w:rPr>
          <w:rStyle w:val="31"/>
          <w:rFonts w:hint="eastAsia" w:ascii="仿宋_GB2312" w:hAnsi="微软雅黑" w:eastAsia="仿宋_GB2312"/>
          <w:sz w:val="24"/>
          <w:szCs w:val="24"/>
        </w:rPr>
        <w:t>　</w:t>
      </w:r>
    </w:p>
    <w:p>
      <w:pPr>
        <w:pStyle w:val="25"/>
        <w:shd w:val="clear" w:color="auto" w:fill="FFFFFF"/>
        <w:adjustRightInd w:val="0"/>
        <w:snapToGrid w:val="0"/>
        <w:spacing w:before="0" w:beforeAutospacing="0" w:after="0" w:afterAutospacing="0" w:line="560" w:lineRule="exact"/>
        <w:jc w:val="center"/>
        <w:rPr>
          <w:rStyle w:val="31"/>
          <w:rFonts w:ascii="黑体" w:hAnsi="黑体" w:eastAsia="黑体"/>
          <w:sz w:val="24"/>
          <w:szCs w:val="24"/>
        </w:rPr>
      </w:pPr>
      <w:r>
        <w:rPr>
          <w:rStyle w:val="31"/>
          <w:rFonts w:hint="eastAsia" w:ascii="黑体" w:hAnsi="黑体" w:eastAsia="黑体"/>
          <w:sz w:val="24"/>
          <w:szCs w:val="24"/>
        </w:rPr>
        <w:t xml:space="preserve">第七章 </w:t>
      </w:r>
      <w:r>
        <w:rPr>
          <w:rStyle w:val="31"/>
          <w:rFonts w:hint="eastAsia" w:ascii="微软雅黑" w:hAnsi="微软雅黑" w:eastAsia="黑体"/>
          <w:sz w:val="24"/>
          <w:szCs w:val="24"/>
        </w:rPr>
        <w:t> </w:t>
      </w:r>
      <w:r>
        <w:rPr>
          <w:rStyle w:val="31"/>
          <w:rFonts w:hint="eastAsia" w:ascii="黑体" w:hAnsi="黑体" w:eastAsia="黑体"/>
          <w:sz w:val="24"/>
          <w:szCs w:val="24"/>
        </w:rPr>
        <w:t>附则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宋体" w:hAnsi="宋体"/>
          <w:b/>
          <w:sz w:val="24"/>
          <w:szCs w:val="24"/>
        </w:rPr>
      </w:pPr>
      <w:r>
        <w:rPr>
          <w:rFonts w:hint="eastAsia" w:ascii="宋体" w:hAnsi="宋体"/>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312"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宋体" w:hAnsi="宋体"/>
          <w:b/>
          <w:sz w:val="30"/>
          <w:szCs w:val="30"/>
        </w:rPr>
      </w:pPr>
      <w:r>
        <w:rPr>
          <w:rFonts w:hint="eastAsia" w:ascii="宋体" w:hAnsi="宋体"/>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w:fldChar w:fldCharType="begin"/>
    </w:r>
    <w:r>
      <w:instrText xml:space="preserve"> PAGE   \* MERGEFORMAT </w:instrText>
    </w:r>
    <w:r>
      <w:fldChar w:fldCharType="separate"/>
    </w:r>
    <w:r>
      <w:rPr>
        <w:lang w:val="zh-CN"/>
      </w:rPr>
      <w:t>1</w:t>
    </w:r>
    <w:r>
      <w:rPr>
        <w:lang w:val="zh-CN"/>
      </w:rPr>
      <w:fldChar w:fldCharType="end"/>
    </w:r>
  </w:p>
  <w:p>
    <w:pPr>
      <w:pStyle w:val="1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981826"/>
    <w:multiLevelType w:val="singleLevel"/>
    <w:tmpl w:val="FE981826"/>
    <w:lvl w:ilvl="0" w:tentative="0">
      <w:start w:val="4"/>
      <w:numFmt w:val="chineseCounting"/>
      <w:suff w:val="space"/>
      <w:lvlText w:val="第%1章"/>
      <w:lvlJc w:val="left"/>
      <w:rPr>
        <w:rFonts w:hint="eastAsia"/>
      </w:rPr>
    </w:lvl>
  </w:abstractNum>
  <w:abstractNum w:abstractNumId="1">
    <w:nsid w:val="07FA6FDA"/>
    <w:multiLevelType w:val="singleLevel"/>
    <w:tmpl w:val="07FA6FDA"/>
    <w:lvl w:ilvl="0" w:tentative="0">
      <w:start w:val="5"/>
      <w:numFmt w:val="chineseCounting"/>
      <w:suff w:val="nothing"/>
      <w:lvlText w:val="%1、"/>
      <w:lvlJc w:val="left"/>
      <w:rPr>
        <w:rFonts w:hint="eastAsia"/>
      </w:rPr>
    </w:lvl>
  </w:abstractNum>
  <w:abstractNum w:abstractNumId="2">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5"/>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6"/>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41"/>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戬">
    <w15:presenceInfo w15:providerId="None" w15:userId="王戬"/>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kNjVhZDhjNDEyMDY4NGU5ZjNmOGIyZWI3MmRhMzkifQ=="/>
  </w:docVars>
  <w:rsids>
    <w:rsidRoot w:val="00BC5577"/>
    <w:rsid w:val="000014F5"/>
    <w:rsid w:val="00003BBB"/>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0391"/>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D7D36"/>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2201"/>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1F3ADA"/>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452CB"/>
    <w:rsid w:val="00253084"/>
    <w:rsid w:val="002558D5"/>
    <w:rsid w:val="00257024"/>
    <w:rsid w:val="00261227"/>
    <w:rsid w:val="00263614"/>
    <w:rsid w:val="002679E3"/>
    <w:rsid w:val="00270053"/>
    <w:rsid w:val="00270964"/>
    <w:rsid w:val="002715B7"/>
    <w:rsid w:val="00272628"/>
    <w:rsid w:val="00273493"/>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6C39"/>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761"/>
    <w:rsid w:val="00375E61"/>
    <w:rsid w:val="003767EF"/>
    <w:rsid w:val="00376D1E"/>
    <w:rsid w:val="0038139D"/>
    <w:rsid w:val="003818DA"/>
    <w:rsid w:val="00384CB4"/>
    <w:rsid w:val="003873AB"/>
    <w:rsid w:val="00387CD7"/>
    <w:rsid w:val="00387D5F"/>
    <w:rsid w:val="003965ED"/>
    <w:rsid w:val="003969AF"/>
    <w:rsid w:val="003A3478"/>
    <w:rsid w:val="003A7219"/>
    <w:rsid w:val="003A794F"/>
    <w:rsid w:val="003A7DF3"/>
    <w:rsid w:val="003B0510"/>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39F5"/>
    <w:rsid w:val="00423F69"/>
    <w:rsid w:val="0042556D"/>
    <w:rsid w:val="00426B83"/>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1D1A"/>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E59"/>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61709"/>
    <w:rsid w:val="00672C2F"/>
    <w:rsid w:val="006733DF"/>
    <w:rsid w:val="006737C4"/>
    <w:rsid w:val="00673AF2"/>
    <w:rsid w:val="006742A6"/>
    <w:rsid w:val="006774A7"/>
    <w:rsid w:val="00681C46"/>
    <w:rsid w:val="0068287D"/>
    <w:rsid w:val="006844BA"/>
    <w:rsid w:val="0068485A"/>
    <w:rsid w:val="00686A3C"/>
    <w:rsid w:val="0069130E"/>
    <w:rsid w:val="00692A19"/>
    <w:rsid w:val="006930D6"/>
    <w:rsid w:val="00694664"/>
    <w:rsid w:val="00696B74"/>
    <w:rsid w:val="006A0842"/>
    <w:rsid w:val="006A1690"/>
    <w:rsid w:val="006A28FE"/>
    <w:rsid w:val="006A44C6"/>
    <w:rsid w:val="006A5E3A"/>
    <w:rsid w:val="006B014D"/>
    <w:rsid w:val="006B2C5F"/>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3820"/>
    <w:rsid w:val="006E5075"/>
    <w:rsid w:val="006E5253"/>
    <w:rsid w:val="006E5C73"/>
    <w:rsid w:val="006E6048"/>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35788"/>
    <w:rsid w:val="00735BA4"/>
    <w:rsid w:val="00737EC0"/>
    <w:rsid w:val="0074259D"/>
    <w:rsid w:val="0074270E"/>
    <w:rsid w:val="007434E4"/>
    <w:rsid w:val="00744CA7"/>
    <w:rsid w:val="00744F24"/>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6035C"/>
    <w:rsid w:val="008631F1"/>
    <w:rsid w:val="00870454"/>
    <w:rsid w:val="0087319E"/>
    <w:rsid w:val="008734F8"/>
    <w:rsid w:val="0087389B"/>
    <w:rsid w:val="008740F7"/>
    <w:rsid w:val="00874DC8"/>
    <w:rsid w:val="008818C9"/>
    <w:rsid w:val="00883039"/>
    <w:rsid w:val="00885DDE"/>
    <w:rsid w:val="00887800"/>
    <w:rsid w:val="00890717"/>
    <w:rsid w:val="00891545"/>
    <w:rsid w:val="00892818"/>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6AA9"/>
    <w:rsid w:val="0092704A"/>
    <w:rsid w:val="00931FD5"/>
    <w:rsid w:val="00934AA7"/>
    <w:rsid w:val="00942ACE"/>
    <w:rsid w:val="00942E73"/>
    <w:rsid w:val="00944026"/>
    <w:rsid w:val="00952073"/>
    <w:rsid w:val="00952451"/>
    <w:rsid w:val="00952BDD"/>
    <w:rsid w:val="00953066"/>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416AA"/>
    <w:rsid w:val="00A46332"/>
    <w:rsid w:val="00A50D5B"/>
    <w:rsid w:val="00A5603D"/>
    <w:rsid w:val="00A60D37"/>
    <w:rsid w:val="00A61ADF"/>
    <w:rsid w:val="00A63EC0"/>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0B0"/>
    <w:rsid w:val="00AE3283"/>
    <w:rsid w:val="00AE4643"/>
    <w:rsid w:val="00AE4B4F"/>
    <w:rsid w:val="00AE4EC1"/>
    <w:rsid w:val="00AE5138"/>
    <w:rsid w:val="00AE687A"/>
    <w:rsid w:val="00AE74D4"/>
    <w:rsid w:val="00AF5A67"/>
    <w:rsid w:val="00AF64FC"/>
    <w:rsid w:val="00AF6D9A"/>
    <w:rsid w:val="00AF6E1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5229F"/>
    <w:rsid w:val="00C52A4C"/>
    <w:rsid w:val="00C549C3"/>
    <w:rsid w:val="00C54B26"/>
    <w:rsid w:val="00C55F35"/>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17E00"/>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8074E"/>
    <w:rsid w:val="00D837A7"/>
    <w:rsid w:val="00D84B5D"/>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3583"/>
    <w:rsid w:val="00DE2318"/>
    <w:rsid w:val="00DF127A"/>
    <w:rsid w:val="00E036D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49D"/>
    <w:rsid w:val="00E515A1"/>
    <w:rsid w:val="00E54912"/>
    <w:rsid w:val="00E55313"/>
    <w:rsid w:val="00E622C0"/>
    <w:rsid w:val="00E6360C"/>
    <w:rsid w:val="00E636E6"/>
    <w:rsid w:val="00E640C4"/>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15B1"/>
    <w:rsid w:val="00EA393C"/>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2E10"/>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55B8"/>
    <w:rsid w:val="00F87AC7"/>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157CCA"/>
    <w:rsid w:val="011949CD"/>
    <w:rsid w:val="014B1C38"/>
    <w:rsid w:val="0156352C"/>
    <w:rsid w:val="01EE5E5A"/>
    <w:rsid w:val="023A4BFB"/>
    <w:rsid w:val="02702D13"/>
    <w:rsid w:val="027E6FC9"/>
    <w:rsid w:val="02857DF9"/>
    <w:rsid w:val="02A97FD3"/>
    <w:rsid w:val="02EB0F66"/>
    <w:rsid w:val="03084CFA"/>
    <w:rsid w:val="030B1590"/>
    <w:rsid w:val="03164992"/>
    <w:rsid w:val="033B177D"/>
    <w:rsid w:val="034C612E"/>
    <w:rsid w:val="03600692"/>
    <w:rsid w:val="03667C72"/>
    <w:rsid w:val="03A01301"/>
    <w:rsid w:val="03A2514E"/>
    <w:rsid w:val="03B31109"/>
    <w:rsid w:val="03B66375"/>
    <w:rsid w:val="03B86720"/>
    <w:rsid w:val="03D835EA"/>
    <w:rsid w:val="03E434EA"/>
    <w:rsid w:val="04071455"/>
    <w:rsid w:val="0432311F"/>
    <w:rsid w:val="04446205"/>
    <w:rsid w:val="04910E13"/>
    <w:rsid w:val="04B844FD"/>
    <w:rsid w:val="04E55E3A"/>
    <w:rsid w:val="04FC43EA"/>
    <w:rsid w:val="055661F0"/>
    <w:rsid w:val="055A508B"/>
    <w:rsid w:val="055F6389"/>
    <w:rsid w:val="05BE78F1"/>
    <w:rsid w:val="05E05ABA"/>
    <w:rsid w:val="06A05249"/>
    <w:rsid w:val="06A411DD"/>
    <w:rsid w:val="06E43FCE"/>
    <w:rsid w:val="06EC66E0"/>
    <w:rsid w:val="07247C28"/>
    <w:rsid w:val="073154DA"/>
    <w:rsid w:val="07320597"/>
    <w:rsid w:val="073A744C"/>
    <w:rsid w:val="07AF559C"/>
    <w:rsid w:val="07D4164E"/>
    <w:rsid w:val="084A1910"/>
    <w:rsid w:val="08CE609D"/>
    <w:rsid w:val="09296F01"/>
    <w:rsid w:val="092E1276"/>
    <w:rsid w:val="09412D13"/>
    <w:rsid w:val="09564F15"/>
    <w:rsid w:val="097C01EF"/>
    <w:rsid w:val="09A84CAA"/>
    <w:rsid w:val="09AC2920"/>
    <w:rsid w:val="09D15446"/>
    <w:rsid w:val="0A2E773B"/>
    <w:rsid w:val="0A4546CD"/>
    <w:rsid w:val="0A9D2C05"/>
    <w:rsid w:val="0AC41E4E"/>
    <w:rsid w:val="0B0264D2"/>
    <w:rsid w:val="0B0E131B"/>
    <w:rsid w:val="0B13248D"/>
    <w:rsid w:val="0B381EF4"/>
    <w:rsid w:val="0B416FFB"/>
    <w:rsid w:val="0B6B22C9"/>
    <w:rsid w:val="0B73117E"/>
    <w:rsid w:val="0BDC6D23"/>
    <w:rsid w:val="0C5D773D"/>
    <w:rsid w:val="0C632FA1"/>
    <w:rsid w:val="0CA710DF"/>
    <w:rsid w:val="0CD520F0"/>
    <w:rsid w:val="0CFB4C03"/>
    <w:rsid w:val="0D294166"/>
    <w:rsid w:val="0D2C5EE3"/>
    <w:rsid w:val="0D7754CF"/>
    <w:rsid w:val="0D7C07BE"/>
    <w:rsid w:val="0D7E2A6A"/>
    <w:rsid w:val="0DA16FB4"/>
    <w:rsid w:val="0DAD78C9"/>
    <w:rsid w:val="0DCD3373"/>
    <w:rsid w:val="0DED16BC"/>
    <w:rsid w:val="0DF465A6"/>
    <w:rsid w:val="0E2C58F9"/>
    <w:rsid w:val="0E417312"/>
    <w:rsid w:val="0E7E3960"/>
    <w:rsid w:val="0E903DF5"/>
    <w:rsid w:val="0EA63619"/>
    <w:rsid w:val="0ECE2C8D"/>
    <w:rsid w:val="0EEC54CF"/>
    <w:rsid w:val="0F20786F"/>
    <w:rsid w:val="0F2C7FC2"/>
    <w:rsid w:val="0F587009"/>
    <w:rsid w:val="0F627A8E"/>
    <w:rsid w:val="0FD1712A"/>
    <w:rsid w:val="1021564D"/>
    <w:rsid w:val="10563548"/>
    <w:rsid w:val="107556EE"/>
    <w:rsid w:val="10A32505"/>
    <w:rsid w:val="10A328AC"/>
    <w:rsid w:val="10B85C94"/>
    <w:rsid w:val="10E8616A"/>
    <w:rsid w:val="11097CFF"/>
    <w:rsid w:val="110A7E8F"/>
    <w:rsid w:val="11407D54"/>
    <w:rsid w:val="11725165"/>
    <w:rsid w:val="11916802"/>
    <w:rsid w:val="119836EC"/>
    <w:rsid w:val="11A93BAF"/>
    <w:rsid w:val="11E44B84"/>
    <w:rsid w:val="11EB5F12"/>
    <w:rsid w:val="1283614B"/>
    <w:rsid w:val="12A869B3"/>
    <w:rsid w:val="12C66037"/>
    <w:rsid w:val="12DA0610"/>
    <w:rsid w:val="12FE1C75"/>
    <w:rsid w:val="13085987"/>
    <w:rsid w:val="132536A6"/>
    <w:rsid w:val="1331204B"/>
    <w:rsid w:val="13405DEA"/>
    <w:rsid w:val="13C92283"/>
    <w:rsid w:val="13E0137B"/>
    <w:rsid w:val="14092680"/>
    <w:rsid w:val="143811B7"/>
    <w:rsid w:val="143F60A1"/>
    <w:rsid w:val="14863CD0"/>
    <w:rsid w:val="148D505F"/>
    <w:rsid w:val="14D709D0"/>
    <w:rsid w:val="14DC7D94"/>
    <w:rsid w:val="14E1184E"/>
    <w:rsid w:val="150E0804"/>
    <w:rsid w:val="155618F4"/>
    <w:rsid w:val="15973CBB"/>
    <w:rsid w:val="15B36D47"/>
    <w:rsid w:val="16113A6D"/>
    <w:rsid w:val="16192806"/>
    <w:rsid w:val="16225734"/>
    <w:rsid w:val="162437A1"/>
    <w:rsid w:val="162C38CF"/>
    <w:rsid w:val="1653052A"/>
    <w:rsid w:val="168023D9"/>
    <w:rsid w:val="168E50BE"/>
    <w:rsid w:val="1695644C"/>
    <w:rsid w:val="16C17241"/>
    <w:rsid w:val="16C805D0"/>
    <w:rsid w:val="16F21AF1"/>
    <w:rsid w:val="17252284"/>
    <w:rsid w:val="175D4E15"/>
    <w:rsid w:val="177B58CD"/>
    <w:rsid w:val="17A032FB"/>
    <w:rsid w:val="17B1375A"/>
    <w:rsid w:val="18020BC4"/>
    <w:rsid w:val="180513B0"/>
    <w:rsid w:val="18057602"/>
    <w:rsid w:val="180E64B6"/>
    <w:rsid w:val="18624A54"/>
    <w:rsid w:val="1869193F"/>
    <w:rsid w:val="18B051AF"/>
    <w:rsid w:val="18CD0120"/>
    <w:rsid w:val="18D05E62"/>
    <w:rsid w:val="18E70052"/>
    <w:rsid w:val="191F64A1"/>
    <w:rsid w:val="19254BEF"/>
    <w:rsid w:val="19464AA9"/>
    <w:rsid w:val="19466124"/>
    <w:rsid w:val="19836A30"/>
    <w:rsid w:val="19962C07"/>
    <w:rsid w:val="199C5D44"/>
    <w:rsid w:val="19D43730"/>
    <w:rsid w:val="19DC3498"/>
    <w:rsid w:val="19FE255B"/>
    <w:rsid w:val="1A07319C"/>
    <w:rsid w:val="1A3146DE"/>
    <w:rsid w:val="1A33516B"/>
    <w:rsid w:val="1A361CF4"/>
    <w:rsid w:val="1A393593"/>
    <w:rsid w:val="1A954C6D"/>
    <w:rsid w:val="1B4A1EFB"/>
    <w:rsid w:val="1B4F4CC3"/>
    <w:rsid w:val="1B75684C"/>
    <w:rsid w:val="1B7570E3"/>
    <w:rsid w:val="1B8D1DE8"/>
    <w:rsid w:val="1BA211E7"/>
    <w:rsid w:val="1BC03A01"/>
    <w:rsid w:val="1BFB31F6"/>
    <w:rsid w:val="1C125497"/>
    <w:rsid w:val="1C8651B5"/>
    <w:rsid w:val="1CA613B3"/>
    <w:rsid w:val="1CEB14BC"/>
    <w:rsid w:val="1CF10155"/>
    <w:rsid w:val="1CF71C0F"/>
    <w:rsid w:val="1D1502E7"/>
    <w:rsid w:val="1D1A4E10"/>
    <w:rsid w:val="1D28001A"/>
    <w:rsid w:val="1D862F93"/>
    <w:rsid w:val="1D8B67FB"/>
    <w:rsid w:val="1D9A259A"/>
    <w:rsid w:val="1DA67191"/>
    <w:rsid w:val="1DD65CC8"/>
    <w:rsid w:val="1E116D00"/>
    <w:rsid w:val="1E2D6CC4"/>
    <w:rsid w:val="1E965458"/>
    <w:rsid w:val="1EA01E32"/>
    <w:rsid w:val="1ECE699F"/>
    <w:rsid w:val="1ED32208"/>
    <w:rsid w:val="1ED57D2E"/>
    <w:rsid w:val="1F025BBE"/>
    <w:rsid w:val="1F3802BD"/>
    <w:rsid w:val="1FAD4807"/>
    <w:rsid w:val="1FC35DD8"/>
    <w:rsid w:val="1FD03D76"/>
    <w:rsid w:val="1FF40688"/>
    <w:rsid w:val="20020FF7"/>
    <w:rsid w:val="201077AA"/>
    <w:rsid w:val="203877A5"/>
    <w:rsid w:val="20670E5A"/>
    <w:rsid w:val="20895274"/>
    <w:rsid w:val="20BD316F"/>
    <w:rsid w:val="20E56222"/>
    <w:rsid w:val="20EB3EDD"/>
    <w:rsid w:val="20F52909"/>
    <w:rsid w:val="210F504D"/>
    <w:rsid w:val="214E2D29"/>
    <w:rsid w:val="215869F4"/>
    <w:rsid w:val="2164183D"/>
    <w:rsid w:val="21740C77"/>
    <w:rsid w:val="21A428FD"/>
    <w:rsid w:val="21A96154"/>
    <w:rsid w:val="21AB2FC8"/>
    <w:rsid w:val="21FC1A76"/>
    <w:rsid w:val="221C3EC6"/>
    <w:rsid w:val="223905D4"/>
    <w:rsid w:val="224F6049"/>
    <w:rsid w:val="227B299A"/>
    <w:rsid w:val="228869AA"/>
    <w:rsid w:val="22C22324"/>
    <w:rsid w:val="22CC31F6"/>
    <w:rsid w:val="22D95913"/>
    <w:rsid w:val="23294AEC"/>
    <w:rsid w:val="232A43C0"/>
    <w:rsid w:val="23567244"/>
    <w:rsid w:val="236513B9"/>
    <w:rsid w:val="238910E7"/>
    <w:rsid w:val="23B25F07"/>
    <w:rsid w:val="23C10881"/>
    <w:rsid w:val="23CD191B"/>
    <w:rsid w:val="243674C1"/>
    <w:rsid w:val="243F3E9B"/>
    <w:rsid w:val="24466FD8"/>
    <w:rsid w:val="245060A9"/>
    <w:rsid w:val="245142FB"/>
    <w:rsid w:val="24855D52"/>
    <w:rsid w:val="24961D0D"/>
    <w:rsid w:val="24EE3E19"/>
    <w:rsid w:val="2527505B"/>
    <w:rsid w:val="25744B73"/>
    <w:rsid w:val="25900E53"/>
    <w:rsid w:val="25AB7A3A"/>
    <w:rsid w:val="25F72C80"/>
    <w:rsid w:val="261507FA"/>
    <w:rsid w:val="264F486A"/>
    <w:rsid w:val="26566759"/>
    <w:rsid w:val="26997893"/>
    <w:rsid w:val="269E134D"/>
    <w:rsid w:val="26EA27E4"/>
    <w:rsid w:val="27225ADA"/>
    <w:rsid w:val="275814FC"/>
    <w:rsid w:val="27717DCB"/>
    <w:rsid w:val="281D1648"/>
    <w:rsid w:val="283261F1"/>
    <w:rsid w:val="28574F87"/>
    <w:rsid w:val="28AF482A"/>
    <w:rsid w:val="291D580A"/>
    <w:rsid w:val="29312005"/>
    <w:rsid w:val="29674BDA"/>
    <w:rsid w:val="2973261D"/>
    <w:rsid w:val="297E0FC2"/>
    <w:rsid w:val="297F3987"/>
    <w:rsid w:val="29826D04"/>
    <w:rsid w:val="29831EC9"/>
    <w:rsid w:val="29913DEF"/>
    <w:rsid w:val="29A924E3"/>
    <w:rsid w:val="29B44350"/>
    <w:rsid w:val="2A377AEF"/>
    <w:rsid w:val="2A557F75"/>
    <w:rsid w:val="2A677CA8"/>
    <w:rsid w:val="2ADF5772"/>
    <w:rsid w:val="2B08148B"/>
    <w:rsid w:val="2B51698E"/>
    <w:rsid w:val="2B595843"/>
    <w:rsid w:val="2B6B6C58"/>
    <w:rsid w:val="2B8D373E"/>
    <w:rsid w:val="2B9343A5"/>
    <w:rsid w:val="2B9D7E25"/>
    <w:rsid w:val="2B9E76FA"/>
    <w:rsid w:val="2BA70961"/>
    <w:rsid w:val="2BAC0068"/>
    <w:rsid w:val="2BC07E5E"/>
    <w:rsid w:val="2BF80131"/>
    <w:rsid w:val="2C167BD8"/>
    <w:rsid w:val="2C231C3E"/>
    <w:rsid w:val="2C43766C"/>
    <w:rsid w:val="2C5007D8"/>
    <w:rsid w:val="2C7C3EDF"/>
    <w:rsid w:val="2CB52F4D"/>
    <w:rsid w:val="2CC82C80"/>
    <w:rsid w:val="2D31750C"/>
    <w:rsid w:val="2D5704A8"/>
    <w:rsid w:val="2DCA2A28"/>
    <w:rsid w:val="2DE634B9"/>
    <w:rsid w:val="2DED6716"/>
    <w:rsid w:val="2E3D58F0"/>
    <w:rsid w:val="2E5D1AEE"/>
    <w:rsid w:val="2E813A2E"/>
    <w:rsid w:val="2E821554"/>
    <w:rsid w:val="2E826240"/>
    <w:rsid w:val="2EAE5EA6"/>
    <w:rsid w:val="2EC1207D"/>
    <w:rsid w:val="2EDF550D"/>
    <w:rsid w:val="2EE45D6B"/>
    <w:rsid w:val="2EFE507F"/>
    <w:rsid w:val="2F1F0B51"/>
    <w:rsid w:val="2F4F6B3A"/>
    <w:rsid w:val="2F61427A"/>
    <w:rsid w:val="2F633134"/>
    <w:rsid w:val="2F8B61E7"/>
    <w:rsid w:val="2FA572A9"/>
    <w:rsid w:val="2FC516F9"/>
    <w:rsid w:val="30354AD0"/>
    <w:rsid w:val="30403475"/>
    <w:rsid w:val="30963095"/>
    <w:rsid w:val="309D61D2"/>
    <w:rsid w:val="30B359F5"/>
    <w:rsid w:val="30C91186"/>
    <w:rsid w:val="31344D88"/>
    <w:rsid w:val="31495EDE"/>
    <w:rsid w:val="314D7BF8"/>
    <w:rsid w:val="31921319"/>
    <w:rsid w:val="31BC6863"/>
    <w:rsid w:val="31C205E6"/>
    <w:rsid w:val="31CF685F"/>
    <w:rsid w:val="31D200FD"/>
    <w:rsid w:val="31EE13DB"/>
    <w:rsid w:val="320A7897"/>
    <w:rsid w:val="32116E77"/>
    <w:rsid w:val="32B67A1F"/>
    <w:rsid w:val="32BA4FA1"/>
    <w:rsid w:val="32C520EC"/>
    <w:rsid w:val="32FA2CBE"/>
    <w:rsid w:val="3304078A"/>
    <w:rsid w:val="330B38C7"/>
    <w:rsid w:val="331C3D26"/>
    <w:rsid w:val="33386686"/>
    <w:rsid w:val="333B788C"/>
    <w:rsid w:val="33400AAD"/>
    <w:rsid w:val="33501C21"/>
    <w:rsid w:val="335214F5"/>
    <w:rsid w:val="336E4255"/>
    <w:rsid w:val="336F02F9"/>
    <w:rsid w:val="33833DA5"/>
    <w:rsid w:val="338B35BF"/>
    <w:rsid w:val="33DF6B01"/>
    <w:rsid w:val="34092461"/>
    <w:rsid w:val="34117602"/>
    <w:rsid w:val="341449FD"/>
    <w:rsid w:val="34525525"/>
    <w:rsid w:val="34675474"/>
    <w:rsid w:val="347B2CCE"/>
    <w:rsid w:val="34B72DA6"/>
    <w:rsid w:val="34EE16F2"/>
    <w:rsid w:val="34EF42C7"/>
    <w:rsid w:val="35066A3B"/>
    <w:rsid w:val="35941F30"/>
    <w:rsid w:val="35E04617"/>
    <w:rsid w:val="35EA3087"/>
    <w:rsid w:val="35F25212"/>
    <w:rsid w:val="360C62D3"/>
    <w:rsid w:val="365657D0"/>
    <w:rsid w:val="36607CEC"/>
    <w:rsid w:val="369B31B3"/>
    <w:rsid w:val="36A302BA"/>
    <w:rsid w:val="36A93B22"/>
    <w:rsid w:val="36AA33F6"/>
    <w:rsid w:val="36BD75CE"/>
    <w:rsid w:val="36C97D20"/>
    <w:rsid w:val="36EF1694"/>
    <w:rsid w:val="36F823B4"/>
    <w:rsid w:val="37164F30"/>
    <w:rsid w:val="37503F9E"/>
    <w:rsid w:val="376712E7"/>
    <w:rsid w:val="37C30C14"/>
    <w:rsid w:val="37E33064"/>
    <w:rsid w:val="38451629"/>
    <w:rsid w:val="38455ACD"/>
    <w:rsid w:val="385B0E4C"/>
    <w:rsid w:val="38653581"/>
    <w:rsid w:val="388443D5"/>
    <w:rsid w:val="38FB3C73"/>
    <w:rsid w:val="390659FB"/>
    <w:rsid w:val="390D1E7C"/>
    <w:rsid w:val="399F120C"/>
    <w:rsid w:val="39BD1693"/>
    <w:rsid w:val="39D013C6"/>
    <w:rsid w:val="39F23A32"/>
    <w:rsid w:val="3A014C0D"/>
    <w:rsid w:val="3A331955"/>
    <w:rsid w:val="3A3556CD"/>
    <w:rsid w:val="3A3D3FD1"/>
    <w:rsid w:val="3A465B2C"/>
    <w:rsid w:val="3A922B1F"/>
    <w:rsid w:val="3B005CDB"/>
    <w:rsid w:val="3B163750"/>
    <w:rsid w:val="3B1654FE"/>
    <w:rsid w:val="3B6A356D"/>
    <w:rsid w:val="3B7F0DA7"/>
    <w:rsid w:val="3BAB4838"/>
    <w:rsid w:val="3BF1493F"/>
    <w:rsid w:val="3C0E4427"/>
    <w:rsid w:val="3C2E5433"/>
    <w:rsid w:val="3C474EBB"/>
    <w:rsid w:val="3C6B7ACC"/>
    <w:rsid w:val="3C7C3A87"/>
    <w:rsid w:val="3C7F726B"/>
    <w:rsid w:val="3CD218F9"/>
    <w:rsid w:val="3D3103CE"/>
    <w:rsid w:val="3D7A0677"/>
    <w:rsid w:val="3DA74B34"/>
    <w:rsid w:val="3DAA0180"/>
    <w:rsid w:val="3E2241BA"/>
    <w:rsid w:val="3E2E563A"/>
    <w:rsid w:val="3E547D6D"/>
    <w:rsid w:val="3E9F0F73"/>
    <w:rsid w:val="3EA52FF6"/>
    <w:rsid w:val="3EB47508"/>
    <w:rsid w:val="3EBB0897"/>
    <w:rsid w:val="3EC314F9"/>
    <w:rsid w:val="3ED951C1"/>
    <w:rsid w:val="3EE50F86"/>
    <w:rsid w:val="3EF67B21"/>
    <w:rsid w:val="3EFC727D"/>
    <w:rsid w:val="3F012022"/>
    <w:rsid w:val="3F0E4CF0"/>
    <w:rsid w:val="3F2969DF"/>
    <w:rsid w:val="3F646DBC"/>
    <w:rsid w:val="3F7D3D9E"/>
    <w:rsid w:val="3FAE21A9"/>
    <w:rsid w:val="40022750"/>
    <w:rsid w:val="40273D0A"/>
    <w:rsid w:val="40387CC5"/>
    <w:rsid w:val="40E165AE"/>
    <w:rsid w:val="41D81760"/>
    <w:rsid w:val="41FA170B"/>
    <w:rsid w:val="421A1D78"/>
    <w:rsid w:val="421D0D8D"/>
    <w:rsid w:val="42402E61"/>
    <w:rsid w:val="42980EEF"/>
    <w:rsid w:val="42E67EAC"/>
    <w:rsid w:val="43001B9C"/>
    <w:rsid w:val="432F1853"/>
    <w:rsid w:val="43301127"/>
    <w:rsid w:val="43672D9B"/>
    <w:rsid w:val="43721740"/>
    <w:rsid w:val="439C056B"/>
    <w:rsid w:val="43A86F10"/>
    <w:rsid w:val="43D9531B"/>
    <w:rsid w:val="43DF68BA"/>
    <w:rsid w:val="442C18EF"/>
    <w:rsid w:val="44613C8E"/>
    <w:rsid w:val="44C63AF1"/>
    <w:rsid w:val="44E0509A"/>
    <w:rsid w:val="44E328F5"/>
    <w:rsid w:val="44E6705D"/>
    <w:rsid w:val="45085EB8"/>
    <w:rsid w:val="450C5FC9"/>
    <w:rsid w:val="45120AE5"/>
    <w:rsid w:val="45294080"/>
    <w:rsid w:val="455B692F"/>
    <w:rsid w:val="457774F2"/>
    <w:rsid w:val="45C94FEF"/>
    <w:rsid w:val="45E22BAD"/>
    <w:rsid w:val="462D2409"/>
    <w:rsid w:val="463D2F25"/>
    <w:rsid w:val="463D6035"/>
    <w:rsid w:val="465F5FAB"/>
    <w:rsid w:val="47462CC7"/>
    <w:rsid w:val="477F61D9"/>
    <w:rsid w:val="47892A70"/>
    <w:rsid w:val="479559FD"/>
    <w:rsid w:val="47B95B8F"/>
    <w:rsid w:val="47C1249E"/>
    <w:rsid w:val="47C702AC"/>
    <w:rsid w:val="47D604EF"/>
    <w:rsid w:val="47DD7AD0"/>
    <w:rsid w:val="481B4427"/>
    <w:rsid w:val="4828061F"/>
    <w:rsid w:val="485756B9"/>
    <w:rsid w:val="485D29BF"/>
    <w:rsid w:val="48822127"/>
    <w:rsid w:val="48835154"/>
    <w:rsid w:val="488C6E00"/>
    <w:rsid w:val="48E00EFA"/>
    <w:rsid w:val="4939003C"/>
    <w:rsid w:val="493F3E72"/>
    <w:rsid w:val="494871CB"/>
    <w:rsid w:val="4950607F"/>
    <w:rsid w:val="495D254A"/>
    <w:rsid w:val="496E4757"/>
    <w:rsid w:val="49A34401"/>
    <w:rsid w:val="49C8030C"/>
    <w:rsid w:val="49E60792"/>
    <w:rsid w:val="4A010EEA"/>
    <w:rsid w:val="4A280A90"/>
    <w:rsid w:val="4A634EC5"/>
    <w:rsid w:val="4AAA17BF"/>
    <w:rsid w:val="4AFB201B"/>
    <w:rsid w:val="4AFF1B0B"/>
    <w:rsid w:val="4B054C48"/>
    <w:rsid w:val="4B1B446B"/>
    <w:rsid w:val="4B9304A5"/>
    <w:rsid w:val="4BA91521"/>
    <w:rsid w:val="4BDE5BC4"/>
    <w:rsid w:val="4BE17463"/>
    <w:rsid w:val="4C2A2BB8"/>
    <w:rsid w:val="4C5939BE"/>
    <w:rsid w:val="4C76404F"/>
    <w:rsid w:val="4C8F3363"/>
    <w:rsid w:val="4C9149E5"/>
    <w:rsid w:val="4CAC2800"/>
    <w:rsid w:val="4CFB5EE3"/>
    <w:rsid w:val="4D263AF9"/>
    <w:rsid w:val="4D333CEE"/>
    <w:rsid w:val="4D4B074A"/>
    <w:rsid w:val="4E151645"/>
    <w:rsid w:val="4E467A51"/>
    <w:rsid w:val="4E7C16C5"/>
    <w:rsid w:val="4ECC264C"/>
    <w:rsid w:val="4EF26D89"/>
    <w:rsid w:val="4F367AC5"/>
    <w:rsid w:val="4F9667B6"/>
    <w:rsid w:val="4FC205E1"/>
    <w:rsid w:val="4FC926E8"/>
    <w:rsid w:val="4FE45773"/>
    <w:rsid w:val="4FF85042"/>
    <w:rsid w:val="50175B49"/>
    <w:rsid w:val="501871CB"/>
    <w:rsid w:val="501E2A33"/>
    <w:rsid w:val="502C74D1"/>
    <w:rsid w:val="507C6DB1"/>
    <w:rsid w:val="50F02837"/>
    <w:rsid w:val="50F36BB7"/>
    <w:rsid w:val="510A2FB8"/>
    <w:rsid w:val="514069D9"/>
    <w:rsid w:val="51417EB7"/>
    <w:rsid w:val="516F3CBE"/>
    <w:rsid w:val="517C5E2B"/>
    <w:rsid w:val="517C782D"/>
    <w:rsid w:val="518A5EA7"/>
    <w:rsid w:val="51C25640"/>
    <w:rsid w:val="51C639B2"/>
    <w:rsid w:val="51DF61F2"/>
    <w:rsid w:val="51F17F8E"/>
    <w:rsid w:val="522B58DB"/>
    <w:rsid w:val="5234643D"/>
    <w:rsid w:val="52823DEE"/>
    <w:rsid w:val="52860D64"/>
    <w:rsid w:val="52EC4B4A"/>
    <w:rsid w:val="53051C89"/>
    <w:rsid w:val="53081779"/>
    <w:rsid w:val="531B76FE"/>
    <w:rsid w:val="53510242"/>
    <w:rsid w:val="536F17F8"/>
    <w:rsid w:val="53733096"/>
    <w:rsid w:val="538A6632"/>
    <w:rsid w:val="54102DA0"/>
    <w:rsid w:val="541128AF"/>
    <w:rsid w:val="546926EB"/>
    <w:rsid w:val="54745318"/>
    <w:rsid w:val="54B565B4"/>
    <w:rsid w:val="54BC6CBF"/>
    <w:rsid w:val="54D2203E"/>
    <w:rsid w:val="54DE6C35"/>
    <w:rsid w:val="54EF499E"/>
    <w:rsid w:val="54FA3343"/>
    <w:rsid w:val="551663CF"/>
    <w:rsid w:val="5517751A"/>
    <w:rsid w:val="551E7032"/>
    <w:rsid w:val="55436A98"/>
    <w:rsid w:val="55524F2D"/>
    <w:rsid w:val="558A46C7"/>
    <w:rsid w:val="55AD03B6"/>
    <w:rsid w:val="56194C24"/>
    <w:rsid w:val="564725B8"/>
    <w:rsid w:val="566B274A"/>
    <w:rsid w:val="56BE6D1E"/>
    <w:rsid w:val="56F05266"/>
    <w:rsid w:val="57174680"/>
    <w:rsid w:val="57325016"/>
    <w:rsid w:val="57350A15"/>
    <w:rsid w:val="574A05B2"/>
    <w:rsid w:val="575168F3"/>
    <w:rsid w:val="577E025B"/>
    <w:rsid w:val="57931A9B"/>
    <w:rsid w:val="57A53A3A"/>
    <w:rsid w:val="57AC6B77"/>
    <w:rsid w:val="57C245EC"/>
    <w:rsid w:val="57C87729"/>
    <w:rsid w:val="580C3AB9"/>
    <w:rsid w:val="583152CE"/>
    <w:rsid w:val="58732C56"/>
    <w:rsid w:val="58767185"/>
    <w:rsid w:val="58A957AC"/>
    <w:rsid w:val="58D02D39"/>
    <w:rsid w:val="58FC1D80"/>
    <w:rsid w:val="5910419F"/>
    <w:rsid w:val="594D5E25"/>
    <w:rsid w:val="59556A2A"/>
    <w:rsid w:val="59670749"/>
    <w:rsid w:val="59C363FA"/>
    <w:rsid w:val="59CC52AE"/>
    <w:rsid w:val="59D93D40"/>
    <w:rsid w:val="59E14756"/>
    <w:rsid w:val="59FD3647"/>
    <w:rsid w:val="5A13112F"/>
    <w:rsid w:val="5A1924BD"/>
    <w:rsid w:val="5A4E03B9"/>
    <w:rsid w:val="5A737E20"/>
    <w:rsid w:val="5A7E4E4D"/>
    <w:rsid w:val="5A876F07"/>
    <w:rsid w:val="5A9009D2"/>
    <w:rsid w:val="5AB55191"/>
    <w:rsid w:val="5ABA15AB"/>
    <w:rsid w:val="5AC97A40"/>
    <w:rsid w:val="5B152C85"/>
    <w:rsid w:val="5B2B06FA"/>
    <w:rsid w:val="5B3A2360"/>
    <w:rsid w:val="5B495E80"/>
    <w:rsid w:val="5B5163B3"/>
    <w:rsid w:val="5B7C0F56"/>
    <w:rsid w:val="5B871DD5"/>
    <w:rsid w:val="5BC70423"/>
    <w:rsid w:val="5BD13050"/>
    <w:rsid w:val="5BF44F90"/>
    <w:rsid w:val="5BFB2CB6"/>
    <w:rsid w:val="5C531704"/>
    <w:rsid w:val="5C6B34A4"/>
    <w:rsid w:val="5C7D31D8"/>
    <w:rsid w:val="5C957923"/>
    <w:rsid w:val="5CA42F27"/>
    <w:rsid w:val="5CAC38D8"/>
    <w:rsid w:val="5CB0535B"/>
    <w:rsid w:val="5CDC0F56"/>
    <w:rsid w:val="5CE11CAD"/>
    <w:rsid w:val="5D0336DD"/>
    <w:rsid w:val="5D0F5ABF"/>
    <w:rsid w:val="5D101956"/>
    <w:rsid w:val="5D257215"/>
    <w:rsid w:val="5D2B6790"/>
    <w:rsid w:val="5DC32E6C"/>
    <w:rsid w:val="5DC76880"/>
    <w:rsid w:val="5DE021E2"/>
    <w:rsid w:val="5DFA5BF3"/>
    <w:rsid w:val="5E545B85"/>
    <w:rsid w:val="5E6C12B6"/>
    <w:rsid w:val="5E734892"/>
    <w:rsid w:val="5EC40C4A"/>
    <w:rsid w:val="5ECC7AFE"/>
    <w:rsid w:val="5EF37781"/>
    <w:rsid w:val="5F765DB0"/>
    <w:rsid w:val="5F942D12"/>
    <w:rsid w:val="60200102"/>
    <w:rsid w:val="60343BAD"/>
    <w:rsid w:val="60CA62C0"/>
    <w:rsid w:val="60F35816"/>
    <w:rsid w:val="610C29F3"/>
    <w:rsid w:val="611E0D6E"/>
    <w:rsid w:val="613D4CE3"/>
    <w:rsid w:val="614D13CA"/>
    <w:rsid w:val="617F70AA"/>
    <w:rsid w:val="61891CD7"/>
    <w:rsid w:val="62257C51"/>
    <w:rsid w:val="622A6C63"/>
    <w:rsid w:val="623B56C7"/>
    <w:rsid w:val="623D10A6"/>
    <w:rsid w:val="62EF21DB"/>
    <w:rsid w:val="630C7063"/>
    <w:rsid w:val="631D68AE"/>
    <w:rsid w:val="632D6F40"/>
    <w:rsid w:val="634E31D8"/>
    <w:rsid w:val="635F53E5"/>
    <w:rsid w:val="63A454EE"/>
    <w:rsid w:val="63A728E8"/>
    <w:rsid w:val="63AF1D1A"/>
    <w:rsid w:val="63EF4ADB"/>
    <w:rsid w:val="63F510AA"/>
    <w:rsid w:val="63F773CC"/>
    <w:rsid w:val="645760BC"/>
    <w:rsid w:val="6468651B"/>
    <w:rsid w:val="646E5794"/>
    <w:rsid w:val="648E32AE"/>
    <w:rsid w:val="64A06B15"/>
    <w:rsid w:val="64A31301"/>
    <w:rsid w:val="64BC084D"/>
    <w:rsid w:val="64D252BD"/>
    <w:rsid w:val="64E77440"/>
    <w:rsid w:val="65000502"/>
    <w:rsid w:val="65363F24"/>
    <w:rsid w:val="65412DFD"/>
    <w:rsid w:val="65426D6C"/>
    <w:rsid w:val="65444892"/>
    <w:rsid w:val="654E5711"/>
    <w:rsid w:val="656E5DB3"/>
    <w:rsid w:val="657F52AC"/>
    <w:rsid w:val="659B647C"/>
    <w:rsid w:val="65B14293"/>
    <w:rsid w:val="65BC08CD"/>
    <w:rsid w:val="65C23A09"/>
    <w:rsid w:val="65ED3907"/>
    <w:rsid w:val="66214BD4"/>
    <w:rsid w:val="663742F4"/>
    <w:rsid w:val="663A01C8"/>
    <w:rsid w:val="663C486E"/>
    <w:rsid w:val="6647199B"/>
    <w:rsid w:val="664A237C"/>
    <w:rsid w:val="66703465"/>
    <w:rsid w:val="66846F11"/>
    <w:rsid w:val="668B2466"/>
    <w:rsid w:val="669673D0"/>
    <w:rsid w:val="66DB439B"/>
    <w:rsid w:val="66E003B2"/>
    <w:rsid w:val="673B7F17"/>
    <w:rsid w:val="67971B84"/>
    <w:rsid w:val="67B37AAD"/>
    <w:rsid w:val="67B57CC9"/>
    <w:rsid w:val="6817729A"/>
    <w:rsid w:val="685F19E3"/>
    <w:rsid w:val="68B65AA7"/>
    <w:rsid w:val="693469CC"/>
    <w:rsid w:val="69731BEA"/>
    <w:rsid w:val="699C195F"/>
    <w:rsid w:val="699E695C"/>
    <w:rsid w:val="69BF7E12"/>
    <w:rsid w:val="6A22716C"/>
    <w:rsid w:val="6A407083"/>
    <w:rsid w:val="6A4470E3"/>
    <w:rsid w:val="6A4E61B3"/>
    <w:rsid w:val="6A8B383A"/>
    <w:rsid w:val="6AB204F0"/>
    <w:rsid w:val="6ACB15B2"/>
    <w:rsid w:val="6AE14931"/>
    <w:rsid w:val="6B0A20DA"/>
    <w:rsid w:val="6B2F1B41"/>
    <w:rsid w:val="6B4078AA"/>
    <w:rsid w:val="6B5E1C10"/>
    <w:rsid w:val="6B8278FE"/>
    <w:rsid w:val="6B8C2AEF"/>
    <w:rsid w:val="6B9B0F84"/>
    <w:rsid w:val="6B9C09D1"/>
    <w:rsid w:val="6BAD1411"/>
    <w:rsid w:val="6BC04E8F"/>
    <w:rsid w:val="6BC86475"/>
    <w:rsid w:val="6C0D40F8"/>
    <w:rsid w:val="6C0F54CE"/>
    <w:rsid w:val="6C13111E"/>
    <w:rsid w:val="6C2E4C0D"/>
    <w:rsid w:val="6C823EF2"/>
    <w:rsid w:val="6C993B98"/>
    <w:rsid w:val="6CA420BB"/>
    <w:rsid w:val="6D394EF9"/>
    <w:rsid w:val="6D5B4E6F"/>
    <w:rsid w:val="6D9C0FE4"/>
    <w:rsid w:val="6DA6798D"/>
    <w:rsid w:val="6DAF0D17"/>
    <w:rsid w:val="6DED4397"/>
    <w:rsid w:val="6DF40E20"/>
    <w:rsid w:val="6E313E22"/>
    <w:rsid w:val="6EAD16FA"/>
    <w:rsid w:val="6EB72579"/>
    <w:rsid w:val="6EEA55F9"/>
    <w:rsid w:val="6F101C89"/>
    <w:rsid w:val="6F33254C"/>
    <w:rsid w:val="6F370FC4"/>
    <w:rsid w:val="6F420D0F"/>
    <w:rsid w:val="6FAC19B2"/>
    <w:rsid w:val="6FB22D40"/>
    <w:rsid w:val="6FB2689C"/>
    <w:rsid w:val="6FC0720B"/>
    <w:rsid w:val="6FC54822"/>
    <w:rsid w:val="701B5C41"/>
    <w:rsid w:val="704626B8"/>
    <w:rsid w:val="707B3132"/>
    <w:rsid w:val="70967F6C"/>
    <w:rsid w:val="70EC5DDE"/>
    <w:rsid w:val="70F50A78"/>
    <w:rsid w:val="71091718"/>
    <w:rsid w:val="714A76D4"/>
    <w:rsid w:val="71587B7E"/>
    <w:rsid w:val="71816E6E"/>
    <w:rsid w:val="71940950"/>
    <w:rsid w:val="71C34D91"/>
    <w:rsid w:val="71E371E1"/>
    <w:rsid w:val="72192C03"/>
    <w:rsid w:val="722515A8"/>
    <w:rsid w:val="7249173A"/>
    <w:rsid w:val="7276222A"/>
    <w:rsid w:val="72D134DE"/>
    <w:rsid w:val="73197CE0"/>
    <w:rsid w:val="732A1BFA"/>
    <w:rsid w:val="73344FDD"/>
    <w:rsid w:val="73616E39"/>
    <w:rsid w:val="73942E89"/>
    <w:rsid w:val="73C0694D"/>
    <w:rsid w:val="74404DBF"/>
    <w:rsid w:val="74827185"/>
    <w:rsid w:val="74A54B7B"/>
    <w:rsid w:val="74FF4332"/>
    <w:rsid w:val="751B270C"/>
    <w:rsid w:val="7532635D"/>
    <w:rsid w:val="75395703"/>
    <w:rsid w:val="753D00DE"/>
    <w:rsid w:val="753D4E5A"/>
    <w:rsid w:val="756845CD"/>
    <w:rsid w:val="7577036C"/>
    <w:rsid w:val="75D66156"/>
    <w:rsid w:val="75DC28C5"/>
    <w:rsid w:val="75F0011F"/>
    <w:rsid w:val="7601057E"/>
    <w:rsid w:val="760B4F58"/>
    <w:rsid w:val="761E2EDE"/>
    <w:rsid w:val="76312C11"/>
    <w:rsid w:val="764364A0"/>
    <w:rsid w:val="7682521B"/>
    <w:rsid w:val="768C17FB"/>
    <w:rsid w:val="76E66842"/>
    <w:rsid w:val="76EE465E"/>
    <w:rsid w:val="770B16B4"/>
    <w:rsid w:val="773D55E5"/>
    <w:rsid w:val="774B1AB0"/>
    <w:rsid w:val="77722493"/>
    <w:rsid w:val="77A25449"/>
    <w:rsid w:val="77AB07A1"/>
    <w:rsid w:val="77C93AFF"/>
    <w:rsid w:val="780659D7"/>
    <w:rsid w:val="781529D2"/>
    <w:rsid w:val="783267CC"/>
    <w:rsid w:val="783E1615"/>
    <w:rsid w:val="786D5A56"/>
    <w:rsid w:val="787D213D"/>
    <w:rsid w:val="78AA6CAB"/>
    <w:rsid w:val="78EE4DE9"/>
    <w:rsid w:val="79002FDD"/>
    <w:rsid w:val="790E7239"/>
    <w:rsid w:val="790F7714"/>
    <w:rsid w:val="792F0F5E"/>
    <w:rsid w:val="795D5ACB"/>
    <w:rsid w:val="798474FC"/>
    <w:rsid w:val="79F521A7"/>
    <w:rsid w:val="7A0E5017"/>
    <w:rsid w:val="7A2C2B5D"/>
    <w:rsid w:val="7A3C397B"/>
    <w:rsid w:val="7A4256DD"/>
    <w:rsid w:val="7A5F5873"/>
    <w:rsid w:val="7A675A03"/>
    <w:rsid w:val="7A8C48BA"/>
    <w:rsid w:val="7AA17C39"/>
    <w:rsid w:val="7ACD0A2E"/>
    <w:rsid w:val="7ADF16C7"/>
    <w:rsid w:val="7AE123AE"/>
    <w:rsid w:val="7AF1471D"/>
    <w:rsid w:val="7AFD5101"/>
    <w:rsid w:val="7B247399"/>
    <w:rsid w:val="7B424F78"/>
    <w:rsid w:val="7B672C31"/>
    <w:rsid w:val="7BDF4EBD"/>
    <w:rsid w:val="7C684EB3"/>
    <w:rsid w:val="7C7C270C"/>
    <w:rsid w:val="7C88056F"/>
    <w:rsid w:val="7CB974BC"/>
    <w:rsid w:val="7CBB28FC"/>
    <w:rsid w:val="7CC85951"/>
    <w:rsid w:val="7CDB38D7"/>
    <w:rsid w:val="7CEA1D6C"/>
    <w:rsid w:val="7D072290"/>
    <w:rsid w:val="7D1D3EEF"/>
    <w:rsid w:val="7D2106AF"/>
    <w:rsid w:val="7D2D1C58"/>
    <w:rsid w:val="7D2D2186"/>
    <w:rsid w:val="7D3E3E65"/>
    <w:rsid w:val="7D787377"/>
    <w:rsid w:val="7E002EC9"/>
    <w:rsid w:val="7E1D3A7B"/>
    <w:rsid w:val="7E3808B5"/>
    <w:rsid w:val="7E505BFE"/>
    <w:rsid w:val="7E54777A"/>
    <w:rsid w:val="7E611BB9"/>
    <w:rsid w:val="7E825C71"/>
    <w:rsid w:val="7EA85A3A"/>
    <w:rsid w:val="7EA96758"/>
    <w:rsid w:val="7EAC5BC9"/>
    <w:rsid w:val="7EB048EF"/>
    <w:rsid w:val="7EBE525E"/>
    <w:rsid w:val="7ECA59B1"/>
    <w:rsid w:val="7ED405DD"/>
    <w:rsid w:val="7EE8612B"/>
    <w:rsid w:val="7EFE77F8"/>
    <w:rsid w:val="7F0D1D41"/>
    <w:rsid w:val="7F5870F3"/>
    <w:rsid w:val="7F6041C6"/>
    <w:rsid w:val="7F692AD8"/>
    <w:rsid w:val="7F7B7750"/>
    <w:rsid w:val="7FCB5E84"/>
    <w:rsid w:val="7FCF252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qFormat="1" w:uiPriority="99" w:semiHidden="0"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qFormat="1"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50"/>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51"/>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5">
    <w:name w:val="heading 3"/>
    <w:basedOn w:val="1"/>
    <w:next w:val="1"/>
    <w:link w:val="52"/>
    <w:qFormat/>
    <w:uiPriority w:val="9"/>
    <w:pPr>
      <w:keepNext/>
      <w:keepLines/>
      <w:spacing w:before="260" w:after="260" w:line="416" w:lineRule="auto"/>
      <w:outlineLvl w:val="2"/>
    </w:pPr>
    <w:rPr>
      <w:b/>
      <w:bCs/>
      <w:sz w:val="32"/>
      <w:szCs w:val="32"/>
    </w:rPr>
  </w:style>
  <w:style w:type="paragraph" w:styleId="6">
    <w:name w:val="heading 4"/>
    <w:basedOn w:val="1"/>
    <w:next w:val="1"/>
    <w:link w:val="53"/>
    <w:qFormat/>
    <w:uiPriority w:val="9"/>
    <w:pPr>
      <w:keepNext/>
      <w:keepLines/>
      <w:spacing w:before="280" w:after="290" w:line="376" w:lineRule="auto"/>
      <w:outlineLvl w:val="3"/>
    </w:pPr>
    <w:rPr>
      <w:rFonts w:ascii="Cambria" w:hAnsi="Cambria" w:eastAsia="宋体" w:cs="Times New Roman"/>
      <w:b/>
      <w:bCs/>
      <w:szCs w:val="28"/>
    </w:rPr>
  </w:style>
  <w:style w:type="paragraph" w:styleId="7">
    <w:name w:val="heading 5"/>
    <w:basedOn w:val="1"/>
    <w:next w:val="1"/>
    <w:link w:val="54"/>
    <w:qFormat/>
    <w:uiPriority w:val="9"/>
    <w:pPr>
      <w:keepNext/>
      <w:keepLines/>
      <w:spacing w:before="280" w:after="290" w:line="376" w:lineRule="auto"/>
      <w:outlineLvl w:val="4"/>
    </w:pPr>
    <w:rPr>
      <w:b/>
      <w:bCs/>
      <w:szCs w:val="28"/>
    </w:rPr>
  </w:style>
  <w:style w:type="paragraph" w:styleId="8">
    <w:name w:val="heading 6"/>
    <w:basedOn w:val="1"/>
    <w:next w:val="1"/>
    <w:link w:val="55"/>
    <w:qFormat/>
    <w:uiPriority w:val="9"/>
    <w:pPr>
      <w:keepNext/>
      <w:keepLines/>
      <w:spacing w:before="240" w:after="64" w:line="320" w:lineRule="auto"/>
      <w:outlineLvl w:val="5"/>
    </w:pPr>
    <w:rPr>
      <w:rFonts w:ascii="Cambria" w:hAnsi="Cambria" w:eastAsia="宋体" w:cs="Times New Roman"/>
      <w:b/>
      <w:bCs/>
      <w:sz w:val="24"/>
      <w:szCs w:val="24"/>
    </w:rPr>
  </w:style>
  <w:style w:type="paragraph" w:styleId="9">
    <w:name w:val="heading 7"/>
    <w:basedOn w:val="1"/>
    <w:next w:val="1"/>
    <w:link w:val="56"/>
    <w:qFormat/>
    <w:uiPriority w:val="9"/>
    <w:pPr>
      <w:keepNext/>
      <w:keepLines/>
      <w:spacing w:before="240" w:after="64" w:line="320" w:lineRule="auto"/>
      <w:outlineLvl w:val="6"/>
    </w:pPr>
    <w:rPr>
      <w:b/>
      <w:bCs/>
      <w:sz w:val="24"/>
      <w:szCs w:val="24"/>
    </w:rPr>
  </w:style>
  <w:style w:type="character" w:default="1" w:styleId="30">
    <w:name w:val="Default Paragraph Font"/>
    <w:unhideWhenUsed/>
    <w:qFormat/>
    <w:uiPriority w:val="1"/>
  </w:style>
  <w:style w:type="table" w:default="1" w:styleId="28">
    <w:name w:val="Normal Table"/>
    <w:unhideWhenUsed/>
    <w:qFormat/>
    <w:uiPriority w:val="99"/>
    <w:tblPr>
      <w:tblCellMar>
        <w:top w:w="0" w:type="dxa"/>
        <w:left w:w="108" w:type="dxa"/>
        <w:bottom w:w="0" w:type="dxa"/>
        <w:right w:w="108" w:type="dxa"/>
      </w:tblCellMar>
    </w:tblPr>
  </w:style>
  <w:style w:type="paragraph" w:styleId="2">
    <w:name w:val="index 4"/>
    <w:basedOn w:val="1"/>
    <w:next w:val="1"/>
    <w:qFormat/>
    <w:uiPriority w:val="99"/>
    <w:pPr>
      <w:ind w:left="600" w:leftChars="600"/>
    </w:pPr>
    <w:rPr>
      <w:rFonts w:ascii="Calibri" w:hAnsi="Calibri"/>
      <w:szCs w:val="24"/>
    </w:rPr>
  </w:style>
  <w:style w:type="paragraph" w:styleId="10">
    <w:name w:val="Normal Indent"/>
    <w:basedOn w:val="1"/>
    <w:qFormat/>
    <w:uiPriority w:val="0"/>
    <w:pPr>
      <w:ind w:firstLine="420"/>
    </w:pPr>
    <w:rPr>
      <w:rFonts w:ascii="Times New Roman" w:hAnsi="Times New Roman" w:cs="Times New Roman"/>
      <w:szCs w:val="20"/>
    </w:rPr>
  </w:style>
  <w:style w:type="paragraph" w:styleId="11">
    <w:name w:val="annotation text"/>
    <w:basedOn w:val="1"/>
    <w:qFormat/>
    <w:uiPriority w:val="0"/>
    <w:pPr>
      <w:jc w:val="left"/>
    </w:pPr>
    <w:rPr>
      <w:kern w:val="0"/>
      <w:sz w:val="21"/>
      <w:szCs w:val="21"/>
    </w:rPr>
  </w:style>
  <w:style w:type="paragraph" w:styleId="12">
    <w:name w:val="Body Text Indent"/>
    <w:basedOn w:val="1"/>
    <w:next w:val="13"/>
    <w:link w:val="49"/>
    <w:qFormat/>
    <w:uiPriority w:val="0"/>
    <w:pPr>
      <w:spacing w:line="200" w:lineRule="atLeast"/>
      <w:ind w:firstLine="301"/>
    </w:pPr>
    <w:rPr>
      <w:rFonts w:ascii="宋体" w:hAnsi="Courier New"/>
      <w:spacing w:val="-4"/>
      <w:kern w:val="0"/>
      <w:sz w:val="18"/>
    </w:rPr>
  </w:style>
  <w:style w:type="paragraph" w:styleId="13">
    <w:name w:val="envelope return"/>
    <w:basedOn w:val="1"/>
    <w:qFormat/>
    <w:uiPriority w:val="0"/>
    <w:pPr>
      <w:snapToGrid w:val="0"/>
    </w:pPr>
    <w:rPr>
      <w:rFonts w:ascii="Arial" w:hAnsi="Arial"/>
    </w:rPr>
  </w:style>
  <w:style w:type="paragraph" w:styleId="14">
    <w:name w:val="Block Text"/>
    <w:basedOn w:val="1"/>
    <w:qFormat/>
    <w:uiPriority w:val="0"/>
    <w:pPr>
      <w:spacing w:line="360" w:lineRule="auto"/>
      <w:ind w:left="630" w:right="-609" w:firstLine="420"/>
    </w:pPr>
    <w:rPr>
      <w:rFonts w:ascii="仿宋_GB2312" w:eastAsia="仿宋_GB2312"/>
    </w:rPr>
  </w:style>
  <w:style w:type="paragraph" w:styleId="15">
    <w:name w:val="Plain Text"/>
    <w:basedOn w:val="1"/>
    <w:link w:val="57"/>
    <w:qFormat/>
    <w:uiPriority w:val="0"/>
    <w:pPr>
      <w:spacing w:beforeLines="50" w:afterLines="50" w:line="400" w:lineRule="atLeast"/>
    </w:pPr>
    <w:rPr>
      <w:rFonts w:ascii="宋体" w:hAnsi="Courier New"/>
      <w:kern w:val="0"/>
      <w:sz w:val="24"/>
    </w:rPr>
  </w:style>
  <w:style w:type="paragraph" w:styleId="16">
    <w:name w:val="Date"/>
    <w:basedOn w:val="1"/>
    <w:next w:val="1"/>
    <w:link w:val="58"/>
    <w:unhideWhenUsed/>
    <w:qFormat/>
    <w:uiPriority w:val="99"/>
    <w:pPr>
      <w:ind w:left="100" w:leftChars="2500"/>
    </w:pPr>
  </w:style>
  <w:style w:type="paragraph" w:styleId="17">
    <w:name w:val="Balloon Text"/>
    <w:basedOn w:val="1"/>
    <w:link w:val="59"/>
    <w:unhideWhenUsed/>
    <w:qFormat/>
    <w:uiPriority w:val="99"/>
    <w:rPr>
      <w:sz w:val="18"/>
      <w:szCs w:val="18"/>
    </w:rPr>
  </w:style>
  <w:style w:type="paragraph" w:styleId="18">
    <w:name w:val="footer"/>
    <w:basedOn w:val="1"/>
    <w:link w:val="60"/>
    <w:unhideWhenUsed/>
    <w:qFormat/>
    <w:uiPriority w:val="99"/>
    <w:pPr>
      <w:tabs>
        <w:tab w:val="center" w:pos="4153"/>
        <w:tab w:val="right" w:pos="8306"/>
      </w:tabs>
      <w:snapToGrid w:val="0"/>
      <w:jc w:val="left"/>
    </w:pPr>
    <w:rPr>
      <w:sz w:val="18"/>
      <w:szCs w:val="18"/>
    </w:rPr>
  </w:style>
  <w:style w:type="paragraph" w:styleId="19">
    <w:name w:val="header"/>
    <w:basedOn w:val="1"/>
    <w:link w:val="61"/>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21">
    <w:name w:val="List"/>
    <w:basedOn w:val="1"/>
    <w:qFormat/>
    <w:uiPriority w:val="0"/>
    <w:pPr>
      <w:ind w:left="420" w:hanging="420"/>
    </w:pPr>
  </w:style>
  <w:style w:type="paragraph" w:styleId="22">
    <w:name w:val="index 7"/>
    <w:basedOn w:val="1"/>
    <w:next w:val="1"/>
    <w:unhideWhenUsed/>
    <w:qFormat/>
    <w:uiPriority w:val="99"/>
    <w:pPr>
      <w:ind w:left="1200" w:leftChars="1200"/>
    </w:pPr>
  </w:style>
  <w:style w:type="paragraph" w:styleId="23">
    <w:name w:val="toc 2"/>
    <w:basedOn w:val="1"/>
    <w:next w:val="1"/>
    <w:unhideWhenUsed/>
    <w:qFormat/>
    <w:uiPriority w:val="39"/>
    <w:pPr>
      <w:ind w:left="420" w:leftChars="200"/>
    </w:pPr>
  </w:style>
  <w:style w:type="paragraph" w:styleId="24">
    <w:name w:val="Body Text 2"/>
    <w:basedOn w:val="1"/>
    <w:semiHidden/>
    <w:unhideWhenUsed/>
    <w:qFormat/>
    <w:uiPriority w:val="99"/>
    <w:pPr>
      <w:spacing w:after="120" w:line="480" w:lineRule="auto"/>
    </w:pPr>
  </w:style>
  <w:style w:type="paragraph" w:styleId="25">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6">
    <w:name w:val="Title"/>
    <w:basedOn w:val="1"/>
    <w:next w:val="1"/>
    <w:link w:val="62"/>
    <w:qFormat/>
    <w:uiPriority w:val="10"/>
    <w:pPr>
      <w:spacing w:before="240" w:after="60"/>
      <w:jc w:val="center"/>
      <w:outlineLvl w:val="0"/>
    </w:pPr>
    <w:rPr>
      <w:rFonts w:ascii="Cambria" w:hAnsi="Cambria" w:cs="Times New Roman"/>
      <w:b/>
      <w:bCs/>
      <w:sz w:val="32"/>
      <w:szCs w:val="32"/>
    </w:rPr>
  </w:style>
  <w:style w:type="paragraph" w:styleId="27">
    <w:name w:val="Body Text First Indent 2"/>
    <w:basedOn w:val="12"/>
    <w:next w:val="21"/>
    <w:qFormat/>
    <w:uiPriority w:val="0"/>
    <w:pPr>
      <w:ind w:firstLine="420" w:firstLineChars="200"/>
    </w:pPr>
  </w:style>
  <w:style w:type="table" w:styleId="29">
    <w:name w:val="Table Grid"/>
    <w:basedOn w:val="2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basedOn w:val="30"/>
    <w:qFormat/>
    <w:uiPriority w:val="0"/>
    <w:rPr>
      <w:b/>
      <w:bCs/>
    </w:rPr>
  </w:style>
  <w:style w:type="character" w:styleId="32">
    <w:name w:val="Hyperlink"/>
    <w:basedOn w:val="30"/>
    <w:unhideWhenUsed/>
    <w:qFormat/>
    <w:uiPriority w:val="99"/>
    <w:rPr>
      <w:color w:val="0000FF"/>
      <w:u w:val="single"/>
    </w:rPr>
  </w:style>
  <w:style w:type="paragraph" w:styleId="33">
    <w:name w:val="List Paragraph"/>
    <w:basedOn w:val="1"/>
    <w:link w:val="65"/>
    <w:qFormat/>
    <w:uiPriority w:val="0"/>
    <w:pPr>
      <w:ind w:firstLine="420" w:firstLineChars="200"/>
    </w:pPr>
    <w:rPr>
      <w:kern w:val="0"/>
    </w:rPr>
  </w:style>
  <w:style w:type="paragraph" w:customStyle="1" w:styleId="34">
    <w:name w:val="正文 第一章"/>
    <w:basedOn w:val="1"/>
    <w:next w:val="35"/>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5">
    <w:name w:val="正文 1.1"/>
    <w:basedOn w:val="1"/>
    <w:next w:val="36"/>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6">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7">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paragraph" w:customStyle="1" w:styleId="38">
    <w:name w:val="首行缩进"/>
    <w:basedOn w:val="1"/>
    <w:next w:val="1"/>
    <w:qFormat/>
    <w:uiPriority w:val="0"/>
    <w:pPr>
      <w:spacing w:line="360" w:lineRule="auto"/>
      <w:ind w:firstLine="200" w:firstLineChars="200"/>
    </w:pPr>
    <w:rPr>
      <w:rFonts w:ascii="Calibri" w:hAnsi="Calibri"/>
      <w:sz w:val="24"/>
      <w:szCs w:val="21"/>
    </w:rPr>
  </w:style>
  <w:style w:type="paragraph" w:customStyle="1" w:styleId="39">
    <w:name w:val="正文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0">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41">
    <w:name w:val="第四级"/>
    <w:basedOn w:val="1"/>
    <w:next w:val="40"/>
    <w:qFormat/>
    <w:uiPriority w:val="0"/>
    <w:pPr>
      <w:numPr>
        <w:ilvl w:val="3"/>
        <w:numId w:val="1"/>
      </w:numPr>
      <w:adjustRightInd w:val="0"/>
      <w:spacing w:line="360" w:lineRule="auto"/>
      <w:textAlignment w:val="baseline"/>
    </w:pPr>
    <w:rPr>
      <w:rFonts w:ascii="宋体" w:hAnsi="宋体" w:eastAsia="仿宋"/>
      <w:kern w:val="0"/>
      <w:szCs w:val="21"/>
    </w:rPr>
  </w:style>
  <w:style w:type="paragraph" w:styleId="42">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43">
    <w:name w:val="标题 2 New"/>
    <w:basedOn w:val="44"/>
    <w:next w:val="44"/>
    <w:qFormat/>
    <w:uiPriority w:val="0"/>
    <w:pPr>
      <w:keepNext/>
      <w:keepLines/>
      <w:spacing w:before="260" w:after="260" w:line="413" w:lineRule="auto"/>
      <w:outlineLvl w:val="1"/>
    </w:pPr>
    <w:rPr>
      <w:rFonts w:ascii="Arial" w:hAnsi="Arial" w:eastAsia="黑体"/>
      <w:b/>
      <w:bCs/>
      <w:sz w:val="32"/>
      <w:szCs w:val="32"/>
    </w:rPr>
  </w:style>
  <w:style w:type="paragraph" w:customStyle="1" w:styleId="44">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2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_3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Normal_0"/>
    <w:qFormat/>
    <w:uiPriority w:val="99"/>
    <w:rPr>
      <w:rFonts w:ascii="Calibri" w:hAnsi="Calibri" w:eastAsia="宋体" w:cs="Times New Roman"/>
      <w:sz w:val="24"/>
      <w:szCs w:val="24"/>
      <w:lang w:val="en-US" w:eastAsia="zh-CN" w:bidi="ar-SA"/>
    </w:rPr>
  </w:style>
  <w:style w:type="paragraph" w:customStyle="1" w:styleId="48">
    <w:name w:val="Default"/>
    <w:next w:val="23"/>
    <w:unhideWhenUsed/>
    <w:qFormat/>
    <w:uiPriority w:val="99"/>
    <w:pPr>
      <w:widowControl w:val="0"/>
      <w:autoSpaceDE w:val="0"/>
      <w:autoSpaceDN w:val="0"/>
      <w:adjustRightInd w:val="0"/>
    </w:pPr>
    <w:rPr>
      <w:rFonts w:ascii="宋体" w:hAnsi="宋体" w:eastAsia="宋体" w:cs="Times New Roman"/>
      <w:color w:val="000000"/>
      <w:kern w:val="0"/>
      <w:sz w:val="24"/>
      <w:szCs w:val="20"/>
      <w:lang w:val="en-US" w:eastAsia="zh-CN" w:bidi="ar-SA"/>
    </w:rPr>
  </w:style>
  <w:style w:type="character" w:customStyle="1" w:styleId="49">
    <w:name w:val="正文文本缩进 Char"/>
    <w:link w:val="12"/>
    <w:qFormat/>
    <w:locked/>
    <w:uiPriority w:val="0"/>
    <w:rPr>
      <w:rFonts w:ascii="宋体" w:hAnsi="Courier New" w:eastAsia="宋体"/>
      <w:spacing w:val="-4"/>
      <w:sz w:val="18"/>
    </w:rPr>
  </w:style>
  <w:style w:type="character" w:customStyle="1" w:styleId="50">
    <w:name w:val="标题 1 Char"/>
    <w:basedOn w:val="30"/>
    <w:link w:val="3"/>
    <w:qFormat/>
    <w:uiPriority w:val="0"/>
    <w:rPr>
      <w:rFonts w:ascii="宋体" w:hAnsi="Arial" w:eastAsia="黑体" w:cs="Times New Roman"/>
      <w:b/>
      <w:bCs/>
      <w:color w:val="000000"/>
      <w:kern w:val="44"/>
      <w:sz w:val="36"/>
      <w:szCs w:val="32"/>
    </w:rPr>
  </w:style>
  <w:style w:type="character" w:customStyle="1" w:styleId="51">
    <w:name w:val="标题 2 Char"/>
    <w:basedOn w:val="30"/>
    <w:link w:val="4"/>
    <w:semiHidden/>
    <w:qFormat/>
    <w:uiPriority w:val="9"/>
    <w:rPr>
      <w:rFonts w:ascii="Cambria" w:hAnsi="Cambria" w:eastAsia="宋体" w:cs="Times New Roman"/>
      <w:b/>
      <w:bCs/>
      <w:sz w:val="32"/>
      <w:szCs w:val="32"/>
    </w:rPr>
  </w:style>
  <w:style w:type="character" w:customStyle="1" w:styleId="52">
    <w:name w:val="标题 3 Char1"/>
    <w:basedOn w:val="30"/>
    <w:link w:val="5"/>
    <w:semiHidden/>
    <w:qFormat/>
    <w:uiPriority w:val="9"/>
    <w:rPr>
      <w:rFonts w:ascii="Times New Roman" w:hAnsi="Times New Roman" w:eastAsia="宋体" w:cs="Times New Roman"/>
      <w:b/>
      <w:bCs/>
      <w:sz w:val="32"/>
      <w:szCs w:val="32"/>
    </w:rPr>
  </w:style>
  <w:style w:type="character" w:customStyle="1" w:styleId="53">
    <w:name w:val="标题 4 Char"/>
    <w:basedOn w:val="30"/>
    <w:link w:val="6"/>
    <w:semiHidden/>
    <w:qFormat/>
    <w:uiPriority w:val="9"/>
    <w:rPr>
      <w:rFonts w:ascii="Cambria" w:hAnsi="Cambria" w:eastAsia="宋体" w:cs="Times New Roman"/>
      <w:b/>
      <w:bCs/>
      <w:sz w:val="28"/>
      <w:szCs w:val="28"/>
    </w:rPr>
  </w:style>
  <w:style w:type="character" w:customStyle="1" w:styleId="54">
    <w:name w:val="标题 5 Char"/>
    <w:basedOn w:val="30"/>
    <w:link w:val="7"/>
    <w:semiHidden/>
    <w:qFormat/>
    <w:uiPriority w:val="9"/>
    <w:rPr>
      <w:rFonts w:ascii="Times New Roman" w:hAnsi="Times New Roman" w:eastAsia="宋体" w:cs="Times New Roman"/>
      <w:b/>
      <w:bCs/>
      <w:sz w:val="28"/>
      <w:szCs w:val="28"/>
    </w:rPr>
  </w:style>
  <w:style w:type="character" w:customStyle="1" w:styleId="55">
    <w:name w:val="标题 6 Char"/>
    <w:basedOn w:val="30"/>
    <w:link w:val="8"/>
    <w:semiHidden/>
    <w:qFormat/>
    <w:uiPriority w:val="9"/>
    <w:rPr>
      <w:rFonts w:ascii="Cambria" w:hAnsi="Cambria" w:eastAsia="宋体" w:cs="Times New Roman"/>
      <w:b/>
      <w:bCs/>
      <w:sz w:val="24"/>
      <w:szCs w:val="24"/>
    </w:rPr>
  </w:style>
  <w:style w:type="character" w:customStyle="1" w:styleId="56">
    <w:name w:val="标题 7 Char"/>
    <w:basedOn w:val="30"/>
    <w:link w:val="9"/>
    <w:semiHidden/>
    <w:qFormat/>
    <w:uiPriority w:val="9"/>
    <w:rPr>
      <w:rFonts w:ascii="Times New Roman" w:hAnsi="Times New Roman" w:eastAsia="宋体" w:cs="Times New Roman"/>
      <w:b/>
      <w:bCs/>
      <w:sz w:val="24"/>
      <w:szCs w:val="24"/>
    </w:rPr>
  </w:style>
  <w:style w:type="character" w:customStyle="1" w:styleId="57">
    <w:name w:val="纯文本 Char1"/>
    <w:link w:val="15"/>
    <w:qFormat/>
    <w:uiPriority w:val="0"/>
    <w:rPr>
      <w:rFonts w:ascii="宋体" w:hAnsi="Courier New" w:eastAsia="宋体"/>
      <w:sz w:val="24"/>
    </w:rPr>
  </w:style>
  <w:style w:type="character" w:customStyle="1" w:styleId="58">
    <w:name w:val="日期 Char"/>
    <w:basedOn w:val="30"/>
    <w:link w:val="16"/>
    <w:semiHidden/>
    <w:qFormat/>
    <w:uiPriority w:val="99"/>
    <w:rPr>
      <w:rFonts w:ascii="Times New Roman" w:hAnsi="Times New Roman" w:eastAsia="宋体" w:cs="Times New Roman"/>
      <w:sz w:val="28"/>
      <w:szCs w:val="20"/>
    </w:rPr>
  </w:style>
  <w:style w:type="character" w:customStyle="1" w:styleId="59">
    <w:name w:val="批注框文本 Char"/>
    <w:basedOn w:val="30"/>
    <w:link w:val="17"/>
    <w:semiHidden/>
    <w:qFormat/>
    <w:uiPriority w:val="99"/>
    <w:rPr>
      <w:rFonts w:ascii="Times New Roman" w:hAnsi="Times New Roman" w:eastAsia="宋体" w:cs="Times New Roman"/>
      <w:sz w:val="18"/>
      <w:szCs w:val="18"/>
    </w:rPr>
  </w:style>
  <w:style w:type="character" w:customStyle="1" w:styleId="60">
    <w:name w:val="页脚 Char"/>
    <w:basedOn w:val="30"/>
    <w:link w:val="18"/>
    <w:qFormat/>
    <w:uiPriority w:val="99"/>
    <w:rPr>
      <w:rFonts w:ascii="Times New Roman" w:hAnsi="Times New Roman" w:eastAsia="宋体" w:cs="Times New Roman"/>
      <w:sz w:val="18"/>
      <w:szCs w:val="18"/>
    </w:rPr>
  </w:style>
  <w:style w:type="character" w:customStyle="1" w:styleId="61">
    <w:name w:val="页眉 Char"/>
    <w:basedOn w:val="30"/>
    <w:link w:val="19"/>
    <w:semiHidden/>
    <w:qFormat/>
    <w:uiPriority w:val="99"/>
    <w:rPr>
      <w:rFonts w:ascii="Times New Roman" w:hAnsi="Times New Roman" w:eastAsia="宋体" w:cs="Times New Roman"/>
      <w:sz w:val="18"/>
      <w:szCs w:val="18"/>
    </w:rPr>
  </w:style>
  <w:style w:type="character" w:customStyle="1" w:styleId="62">
    <w:name w:val="标题 Char"/>
    <w:basedOn w:val="30"/>
    <w:link w:val="26"/>
    <w:qFormat/>
    <w:uiPriority w:val="10"/>
    <w:rPr>
      <w:rFonts w:ascii="Cambria" w:hAnsi="Cambria" w:eastAsia="宋体" w:cs="Times New Roman"/>
      <w:b/>
      <w:bCs/>
      <w:sz w:val="32"/>
      <w:szCs w:val="32"/>
    </w:rPr>
  </w:style>
  <w:style w:type="character" w:customStyle="1" w:styleId="63">
    <w:name w:val="正文文本缩进 Char1"/>
    <w:basedOn w:val="30"/>
    <w:semiHidden/>
    <w:qFormat/>
    <w:uiPriority w:val="99"/>
    <w:rPr>
      <w:rFonts w:ascii="Times New Roman" w:hAnsi="Times New Roman" w:eastAsia="宋体" w:cs="Times New Roman"/>
      <w:sz w:val="28"/>
      <w:szCs w:val="20"/>
    </w:rPr>
  </w:style>
  <w:style w:type="character" w:customStyle="1" w:styleId="64">
    <w:name w:val="纯文本 Char"/>
    <w:basedOn w:val="30"/>
    <w:semiHidden/>
    <w:qFormat/>
    <w:uiPriority w:val="99"/>
    <w:rPr>
      <w:rFonts w:ascii="宋体" w:hAnsi="Courier New" w:eastAsia="宋体" w:cs="Courier New"/>
      <w:szCs w:val="21"/>
    </w:rPr>
  </w:style>
  <w:style w:type="character" w:customStyle="1" w:styleId="65">
    <w:name w:val="列出段落 Char"/>
    <w:link w:val="33"/>
    <w:qFormat/>
    <w:locked/>
    <w:uiPriority w:val="0"/>
    <w:rPr>
      <w:rFonts w:ascii="Times New Roman" w:hAnsi="Times New Roman" w:eastAsia="宋体" w:cs="Times New Roman"/>
      <w:sz w:val="28"/>
      <w:szCs w:val="20"/>
    </w:rPr>
  </w:style>
  <w:style w:type="character" w:customStyle="1" w:styleId="66">
    <w:name w:val="正文 第五章 中间"/>
    <w:qFormat/>
    <w:uiPriority w:val="0"/>
    <w:rPr>
      <w:b/>
      <w:bCs/>
      <w:color w:val="000000"/>
      <w:sz w:val="32"/>
    </w:rPr>
  </w:style>
  <w:style w:type="character" w:customStyle="1" w:styleId="67">
    <w:name w:val="标题 3 Char"/>
    <w:qFormat/>
    <w:uiPriority w:val="0"/>
    <w:rPr>
      <w:rFonts w:eastAsia="宋体"/>
      <w:b/>
      <w:bCs/>
      <w:kern w:val="2"/>
      <w:sz w:val="32"/>
      <w:szCs w:val="32"/>
      <w:lang w:val="en-US" w:eastAsia="zh-CN" w:bidi="ar-SA"/>
    </w:rPr>
  </w:style>
  <w:style w:type="paragraph" w:customStyle="1" w:styleId="68">
    <w:name w:val="正文_0_0"/>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69">
    <w:name w:val="_Style 13"/>
    <w:basedOn w:val="1"/>
    <w:next w:val="33"/>
    <w:qFormat/>
    <w:uiPriority w:val="99"/>
    <w:pPr>
      <w:ind w:firstLine="420" w:firstLineChars="200"/>
    </w:pPr>
  </w:style>
  <w:style w:type="paragraph" w:customStyle="1" w:styleId="70">
    <w:name w:val="正文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71">
    <w:name w:val="正文_3"/>
    <w:qFormat/>
    <w:uiPriority w:val="0"/>
    <w:pPr>
      <w:widowControl w:val="0"/>
      <w:jc w:val="center"/>
    </w:pPr>
    <w:rPr>
      <w:rFonts w:ascii="宋体" w:hAnsi="宋体" w:eastAsia="宋体" w:cs="Times New Roman"/>
      <w:b/>
      <w:kern w:val="2"/>
      <w:sz w:val="44"/>
      <w:szCs w:val="4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45</Pages>
  <Words>18465</Words>
  <Characters>19100</Characters>
  <Lines>158</Lines>
  <Paragraphs>44</Paragraphs>
  <TotalTime>32</TotalTime>
  <ScaleCrop>false</ScaleCrop>
  <LinksUpToDate>false</LinksUpToDate>
  <CharactersWithSpaces>21954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我是一道闪电 ⚡</cp:lastModifiedBy>
  <cp:lastPrinted>2019-06-10T01:13:00Z</cp:lastPrinted>
  <dcterms:modified xsi:type="dcterms:W3CDTF">2023-06-25T01:23:46Z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EC2D55065EE9410B8AC07D03BAF4E20B</vt:lpwstr>
  </property>
</Properties>
</file>