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2022015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w w:val="90"/>
          <w:sz w:val="48"/>
          <w:szCs w:val="48"/>
          <w:lang w:eastAsia="zh-CN"/>
        </w:rPr>
        <w:t>楼宇钢网架等安全检测鉴定项目</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1"/>
          <w:rFonts w:hint="eastAsia"/>
        </w:rPr>
        <w:t>第一章</w:t>
      </w:r>
      <w:r>
        <w:rPr>
          <w:rStyle w:val="31"/>
        </w:rPr>
        <w:t xml:space="preserve">  </w:t>
      </w:r>
      <w:r>
        <w:rPr>
          <w:rStyle w:val="31"/>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1"/>
          <w:rFonts w:hint="eastAsia"/>
        </w:rPr>
        <w:t>第二章</w:t>
      </w:r>
      <w:r>
        <w:rPr>
          <w:rStyle w:val="31"/>
        </w:rPr>
        <w:t xml:space="preserve">  </w:t>
      </w:r>
      <w:r>
        <w:rPr>
          <w:rStyle w:val="31"/>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1"/>
          <w:rFonts w:hint="eastAsia"/>
        </w:rPr>
        <w:t>第三章</w:t>
      </w:r>
      <w:r>
        <w:rPr>
          <w:rStyle w:val="31"/>
        </w:rPr>
        <w:t xml:space="preserve">  </w:t>
      </w:r>
      <w:r>
        <w:rPr>
          <w:rStyle w:val="31"/>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1"/>
          <w:rFonts w:hint="eastAsia"/>
        </w:rPr>
        <w:t>第四章</w:t>
      </w:r>
      <w:r>
        <w:rPr>
          <w:rStyle w:val="31"/>
        </w:rPr>
        <w:t xml:space="preserve">  </w:t>
      </w:r>
      <w:r>
        <w:rPr>
          <w:rStyle w:val="31"/>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1"/>
          <w:rFonts w:hint="eastAsia"/>
        </w:rPr>
        <w:t>第五章</w:t>
      </w:r>
      <w:r>
        <w:rPr>
          <w:rStyle w:val="31"/>
        </w:rPr>
        <w:t xml:space="preserve">  </w:t>
      </w:r>
      <w:r>
        <w:rPr>
          <w:rStyle w:val="31"/>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1"/>
          <w:rFonts w:hint="eastAsia"/>
        </w:rPr>
        <w:t>第六章</w:t>
      </w:r>
      <w:r>
        <w:rPr>
          <w:rStyle w:val="31"/>
        </w:rPr>
        <w:t xml:space="preserve">  </w:t>
      </w:r>
      <w:r>
        <w:rPr>
          <w:rStyle w:val="31"/>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1"/>
          <w:rFonts w:hint="eastAsia"/>
        </w:rPr>
        <w:t>第七章</w:t>
      </w:r>
      <w:r>
        <w:rPr>
          <w:rStyle w:val="31"/>
        </w:rPr>
        <w:t xml:space="preserve">  </w:t>
      </w:r>
      <w:r>
        <w:rPr>
          <w:rStyle w:val="31"/>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5"/>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2022015</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对我校部分楼宇钢网架、屋面钢结构飘蓬、钢结构玻璃雨棚及石材幕墙安全检测鉴定</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20万</w:t>
      </w:r>
      <w:r>
        <w:rPr>
          <w:rFonts w:hint="default" w:ascii="仿宋_GB2312" w:eastAsia="仿宋_GB2312" w:cs="宋体"/>
          <w:sz w:val="24"/>
          <w:szCs w:val="24"/>
          <w:lang w:val="en-US" w:eastAsia="zh-CN"/>
        </w:rPr>
        <w:t>元</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一</w:t>
      </w: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符合《中华人民共和国政府采购法》投标人资格条件；</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（二）具有独立法人资格；</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投标人资质要求：(1)具有省级及以上建设行政主管部门颁发的钢结构、幕墙工程检测资质；或具有省级及以上建设行政主管部门颁发的钢结构检测资质联合具有省级及以上建设行政主管部门颁发的幕墙工程检测资质； (2)具有有效的计量认证合格证书（CMA）。</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en-US" w:eastAsia="zh-CN"/>
        </w:rPr>
        <w:t>（四）本次接受以钢结构联合幕墙联合体形式参与报价；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8</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lang w:val="zh-CN" w:eastAsia="zh-CN" w:bidi="ar-SA"/>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eastAsia="zh-CN" w:bidi="ar-SA"/>
        </w:rPr>
        <w:t>报名方式：</w:t>
      </w:r>
      <w:r>
        <w:rPr>
          <w:rFonts w:hint="eastAsia" w:ascii="仿宋_GB2312" w:hAnsi="宋体" w:eastAsia="仿宋_GB2312" w:cs="宋体"/>
          <w:kern w:val="0"/>
          <w:sz w:val="24"/>
          <w:szCs w:val="24"/>
          <w:lang w:val="en-US" w:eastAsia="zh-CN" w:bidi="ar-SA"/>
        </w:rPr>
        <w:t>皖南医学院楼宇钢网架等安全检测鉴定项目</w:t>
      </w:r>
      <w:r>
        <w:rPr>
          <w:rFonts w:hint="default" w:ascii="仿宋_GB2312" w:hAnsi="宋体" w:eastAsia="仿宋_GB2312" w:cs="宋体"/>
          <w:kern w:val="0"/>
          <w:sz w:val="24"/>
          <w:szCs w:val="24"/>
          <w:lang w:val="en-US" w:eastAsia="zh-CN" w:bidi="ar-SA"/>
        </w:rPr>
        <w:t>（项目编号：WYGZ</w:t>
      </w:r>
      <w:r>
        <w:rPr>
          <w:rFonts w:hint="eastAsia" w:ascii="仿宋_GB2312" w:hAnsi="宋体" w:eastAsia="仿宋_GB2312" w:cs="宋体"/>
          <w:kern w:val="0"/>
          <w:sz w:val="24"/>
          <w:szCs w:val="24"/>
          <w:lang w:val="en-US" w:eastAsia="zh-CN" w:bidi="ar-SA"/>
        </w:rPr>
        <w:t>2022015</w:t>
      </w:r>
      <w:r>
        <w:rPr>
          <w:rFonts w:hint="default" w:ascii="仿宋_GB2312" w:hAnsi="宋体" w:eastAsia="仿宋_GB2312" w:cs="宋体"/>
          <w:kern w:val="0"/>
          <w:sz w:val="24"/>
          <w:szCs w:val="24"/>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val="en-US" w:eastAsia="zh-CN" w:bidi="ar-SA"/>
        </w:rPr>
        <w:t>报名</w:t>
      </w:r>
      <w:r>
        <w:rPr>
          <w:rFonts w:hint="eastAsia" w:ascii="仿宋_GB2312" w:hAnsi="宋体" w:eastAsia="仿宋_GB2312" w:cs="宋体"/>
          <w:kern w:val="0"/>
          <w:sz w:val="24"/>
          <w:szCs w:val="24"/>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lang w:val="zh-CN"/>
        </w:rPr>
      </w:pPr>
      <w:r>
        <w:rPr>
          <w:rFonts w:hint="eastAsia" w:ascii="仿宋_GB2312" w:eastAsia="仿宋_GB2312" w:cs="宋体"/>
          <w:sz w:val="24"/>
          <w:szCs w:val="24"/>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（一）响应文件</w:t>
      </w:r>
      <w:r>
        <w:rPr>
          <w:rFonts w:hint="default" w:ascii="仿宋_GB2312" w:eastAsia="仿宋_GB2312" w:cs="宋体"/>
          <w:sz w:val="24"/>
          <w:szCs w:val="24"/>
          <w:highlight w:val="none"/>
          <w:lang w:val="en-US" w:eastAsia="zh-CN"/>
        </w:rPr>
        <w:t>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15</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15</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因学校防控要求，校外人员进校需填写《校外人员入校申请表》（附件）。请各投标单位如实填写，并于2022年7月14日12：00前将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30</w:t>
      </w:r>
      <w:bookmarkStart w:id="153" w:name="_GoBack"/>
      <w:bookmarkEnd w:id="153"/>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5"/>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皖南医学院楼宇钢网架等安全检测鉴定项目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6"/>
              <w:ind w:left="0" w:leftChars="0" w:firstLine="0" w:firstLineChars="0"/>
              <w:rPr>
                <w:rFonts w:hint="default"/>
                <w:lang w:val="en-US" w:eastAsia="zh-CN"/>
              </w:rPr>
            </w:pPr>
            <w:r>
              <w:rPr>
                <w:rFonts w:hint="eastAsia" w:ascii="宋体" w:hAnsi="宋体" w:eastAsia="宋体" w:cs="宋体"/>
                <w:spacing w:val="-4"/>
                <w:kern w:val="0"/>
                <w:sz w:val="21"/>
                <w:szCs w:val="21"/>
                <w:lang w:val="en-US" w:eastAsia="zh-CN" w:bidi="ar-SA"/>
              </w:rPr>
              <w:t>组织形式：</w:t>
            </w:r>
            <w:r>
              <w:rPr>
                <w:rFonts w:hint="eastAsia" w:hAnsi="宋体" w:cs="宋体"/>
                <w:spacing w:val="-4"/>
                <w:kern w:val="0"/>
                <w:sz w:val="21"/>
                <w:szCs w:val="21"/>
                <w:lang w:val="en-US" w:eastAsia="zh-CN" w:bidi="ar-SA"/>
              </w:rPr>
              <w:t>视频</w:t>
            </w:r>
            <w:r>
              <w:rPr>
                <w:rFonts w:hint="eastAsia" w:ascii="宋体" w:hAnsi="宋体" w:eastAsia="宋体" w:cs="宋体"/>
                <w:spacing w:val="-4"/>
                <w:kern w:val="0"/>
                <w:sz w:val="21"/>
                <w:szCs w:val="21"/>
                <w:lang w:val="en-US" w:eastAsia="zh-CN" w:bidi="ar-SA"/>
              </w:rPr>
              <w:t>踏勘</w:t>
            </w:r>
            <w:r>
              <w:rPr>
                <w:rFonts w:hint="eastAsia" w:hAnsi="宋体" w:cs="宋体"/>
                <w:spacing w:val="-4"/>
                <w:kern w:val="0"/>
                <w:sz w:val="21"/>
                <w:szCs w:val="21"/>
                <w:lang w:val="en-US" w:eastAsia="zh-CN" w:bidi="ar-SA"/>
              </w:rPr>
              <w:t>，踏勘视频见附件。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5000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16938519"/>
      <w:bookmarkStart w:id="4" w:name="_Toc120614214"/>
      <w:bookmarkStart w:id="5" w:name="_Toc513029203"/>
      <w:bookmarkStart w:id="6" w:name="_Toc20823275"/>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9"/>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9"/>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9"/>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9"/>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9"/>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462564067"/>
      <w:bookmarkStart w:id="19" w:name="_Toc513029207"/>
      <w:bookmarkStart w:id="20" w:name="_Toc20823279"/>
      <w:bookmarkStart w:id="21" w:name="_Toc16938523"/>
      <w:r>
        <w:rPr>
          <w:rFonts w:hint="eastAsia" w:ascii="宋体" w:hAnsi="宋体" w:cs="宋体"/>
          <w:sz w:val="24"/>
          <w:szCs w:val="24"/>
        </w:rPr>
        <w:t>5.磋商费用</w:t>
      </w:r>
      <w:bookmarkEnd w:id="18"/>
      <w:bookmarkEnd w:id="19"/>
      <w:bookmarkEnd w:id="20"/>
      <w:bookmarkEnd w:id="21"/>
    </w:p>
    <w:p>
      <w:pPr>
        <w:pStyle w:val="39"/>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9"/>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9"/>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403987206"/>
      <w:bookmarkStart w:id="24" w:name="_Toc513029209"/>
      <w:bookmarkStart w:id="25" w:name="_Toc16938525"/>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39"/>
        <w:snapToGrid w:val="0"/>
        <w:rPr>
          <w:rFonts w:hint="eastAsia" w:hAnsi="宋体" w:eastAsia="宋体"/>
          <w:sz w:val="24"/>
          <w:szCs w:val="24"/>
        </w:rPr>
      </w:pPr>
      <w:r>
        <w:rPr>
          <w:rFonts w:hint="eastAsia" w:hAnsi="宋体" w:eastAsia="宋体"/>
          <w:sz w:val="24"/>
          <w:szCs w:val="24"/>
        </w:rPr>
        <w:t>磋商文件有以下部分组成：</w:t>
      </w:r>
    </w:p>
    <w:p>
      <w:pPr>
        <w:pStyle w:val="39"/>
        <w:snapToGrid w:val="0"/>
        <w:rPr>
          <w:rFonts w:hint="eastAsia" w:hAnsi="宋体" w:eastAsia="宋体"/>
          <w:sz w:val="24"/>
          <w:szCs w:val="24"/>
        </w:rPr>
      </w:pPr>
      <w:r>
        <w:rPr>
          <w:rFonts w:hint="eastAsia" w:hAnsi="宋体" w:eastAsia="宋体"/>
          <w:sz w:val="24"/>
          <w:szCs w:val="24"/>
        </w:rPr>
        <w:t>（1）磋商公告</w:t>
      </w:r>
    </w:p>
    <w:p>
      <w:pPr>
        <w:pStyle w:val="39"/>
        <w:snapToGrid w:val="0"/>
        <w:rPr>
          <w:rFonts w:hint="eastAsia" w:hAnsi="宋体" w:eastAsia="宋体"/>
          <w:sz w:val="24"/>
          <w:szCs w:val="24"/>
        </w:rPr>
      </w:pPr>
      <w:r>
        <w:rPr>
          <w:rFonts w:hint="eastAsia" w:hAnsi="宋体" w:eastAsia="宋体"/>
          <w:sz w:val="24"/>
          <w:szCs w:val="24"/>
        </w:rPr>
        <w:t>（2）磋商须知前附表</w:t>
      </w:r>
    </w:p>
    <w:p>
      <w:pPr>
        <w:pStyle w:val="39"/>
        <w:snapToGrid w:val="0"/>
        <w:rPr>
          <w:rFonts w:hint="eastAsia" w:hAnsi="宋体" w:eastAsia="宋体"/>
          <w:sz w:val="24"/>
          <w:szCs w:val="24"/>
        </w:rPr>
      </w:pPr>
      <w:r>
        <w:rPr>
          <w:rFonts w:hint="eastAsia" w:hAnsi="宋体" w:eastAsia="宋体"/>
          <w:sz w:val="24"/>
          <w:szCs w:val="24"/>
        </w:rPr>
        <w:t>（3）磋商须知</w:t>
      </w:r>
    </w:p>
    <w:p>
      <w:pPr>
        <w:pStyle w:val="39"/>
        <w:snapToGrid w:val="0"/>
        <w:rPr>
          <w:rFonts w:hint="eastAsia" w:hAnsi="宋体" w:eastAsia="宋体"/>
          <w:sz w:val="24"/>
          <w:szCs w:val="24"/>
        </w:rPr>
      </w:pPr>
      <w:r>
        <w:rPr>
          <w:rFonts w:hint="eastAsia" w:hAnsi="宋体" w:eastAsia="宋体"/>
          <w:sz w:val="24"/>
          <w:szCs w:val="24"/>
        </w:rPr>
        <w:t>（4）合同主要条款</w:t>
      </w:r>
    </w:p>
    <w:p>
      <w:pPr>
        <w:pStyle w:val="39"/>
        <w:snapToGrid w:val="0"/>
        <w:rPr>
          <w:rFonts w:hint="eastAsia" w:hAnsi="宋体" w:eastAsia="宋体"/>
          <w:sz w:val="24"/>
          <w:szCs w:val="24"/>
        </w:rPr>
      </w:pPr>
      <w:r>
        <w:rPr>
          <w:rFonts w:hint="eastAsia" w:hAnsi="宋体" w:eastAsia="宋体"/>
          <w:sz w:val="24"/>
          <w:szCs w:val="24"/>
        </w:rPr>
        <w:t>（5）项目需求</w:t>
      </w:r>
    </w:p>
    <w:p>
      <w:pPr>
        <w:pStyle w:val="39"/>
        <w:snapToGrid w:val="0"/>
        <w:rPr>
          <w:rFonts w:hint="eastAsia" w:hAnsi="宋体" w:eastAsia="宋体"/>
          <w:sz w:val="24"/>
          <w:szCs w:val="24"/>
        </w:rPr>
      </w:pPr>
      <w:r>
        <w:rPr>
          <w:rFonts w:hint="eastAsia" w:hAnsi="宋体" w:eastAsia="宋体"/>
          <w:sz w:val="24"/>
          <w:szCs w:val="24"/>
        </w:rPr>
        <w:t>（6）评审标准</w:t>
      </w:r>
    </w:p>
    <w:p>
      <w:pPr>
        <w:pStyle w:val="39"/>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462564070"/>
      <w:bookmarkStart w:id="32" w:name="_Toc513029211"/>
      <w:bookmarkStart w:id="33" w:name="_Toc20823283"/>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9"/>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120614216"/>
      <w:bookmarkStart w:id="36" w:name="_Toc403987207"/>
      <w:bookmarkStart w:id="37" w:name="_Toc16938529"/>
      <w:bookmarkStart w:id="38" w:name="_Toc513029213"/>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16938530"/>
      <w:bookmarkStart w:id="42" w:name="_Toc513029214"/>
      <w:bookmarkStart w:id="43" w:name="_Toc462564073"/>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39"/>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9"/>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16938531"/>
      <w:bookmarkStart w:id="46" w:name="_Toc462564074"/>
      <w:bookmarkStart w:id="47" w:name="_Toc20823287"/>
      <w:bookmarkStart w:id="48" w:name="_Toc513029215"/>
      <w:r>
        <w:rPr>
          <w:rFonts w:hint="eastAsia" w:ascii="宋体" w:hAnsi="宋体" w:cs="宋体"/>
          <w:sz w:val="24"/>
          <w:szCs w:val="24"/>
        </w:rPr>
        <w:t>4.响应文件构成</w:t>
      </w:r>
      <w:bookmarkEnd w:id="45"/>
      <w:bookmarkEnd w:id="46"/>
      <w:bookmarkEnd w:id="47"/>
      <w:bookmarkEnd w:id="48"/>
    </w:p>
    <w:p>
      <w:pPr>
        <w:pStyle w:val="39"/>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9"/>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68975"/>
      <w:bookmarkEnd w:id="49"/>
      <w:bookmarkStart w:id="50" w:name="_Hlt26670360"/>
      <w:bookmarkEnd w:id="50"/>
      <w:bookmarkStart w:id="51" w:name="_Hlt26954838"/>
      <w:bookmarkEnd w:id="51"/>
      <w:bookmarkStart w:id="52" w:name="_Toc513029219"/>
      <w:bookmarkStart w:id="53" w:name="_Toc14577357"/>
      <w:bookmarkStart w:id="54" w:name="_Toc49090509"/>
      <w:bookmarkStart w:id="55" w:name="_Toc513029216"/>
      <w:bookmarkStart w:id="56" w:name="_Toc49090507"/>
      <w:bookmarkStart w:id="57" w:name="_Toc14577354"/>
      <w:r>
        <w:rPr>
          <w:rFonts w:hint="eastAsia" w:ascii="宋体" w:hAnsi="宋体" w:cs="宋体"/>
          <w:sz w:val="24"/>
          <w:szCs w:val="24"/>
        </w:rPr>
        <w:t>5.证明供应商资格及符合磋商文件规定的文件</w:t>
      </w:r>
      <w:bookmarkEnd w:id="52"/>
      <w:bookmarkEnd w:id="53"/>
      <w:bookmarkEnd w:id="54"/>
    </w:p>
    <w:p>
      <w:pPr>
        <w:pStyle w:val="39"/>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9"/>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9"/>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9"/>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9"/>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9"/>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954739"/>
      <w:bookmarkEnd w:id="63"/>
      <w:bookmarkStart w:id="64" w:name="_Hlt26954731"/>
      <w:bookmarkEnd w:id="64"/>
      <w:bookmarkStart w:id="65" w:name="_Hlt26954852"/>
      <w:bookmarkEnd w:id="65"/>
      <w:bookmarkStart w:id="66" w:name="_Hlt26670486"/>
      <w:bookmarkEnd w:id="66"/>
      <w:bookmarkStart w:id="67" w:name="_Hlt26954846"/>
      <w:bookmarkEnd w:id="67"/>
      <w:bookmarkStart w:id="68" w:name="_Hlt26670482"/>
      <w:bookmarkEnd w:id="68"/>
      <w:bookmarkStart w:id="69" w:name="_Hlt26954848"/>
      <w:bookmarkEnd w:id="69"/>
      <w:bookmarkStart w:id="70" w:name="_Toc14577361"/>
      <w:bookmarkStart w:id="71" w:name="_Toc49090512"/>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9"/>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9"/>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9"/>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20823296"/>
      <w:bookmarkStart w:id="73" w:name="_Toc16938540"/>
      <w:bookmarkStart w:id="74" w:name="_Toc513029224"/>
      <w:bookmarkStart w:id="75" w:name="_Toc403987208"/>
      <w:bookmarkStart w:id="76" w:name="_Toc120614217"/>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39"/>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9"/>
        <w:snapToGrid w:val="0"/>
        <w:rPr>
          <w:rFonts w:hint="eastAsia" w:hAnsi="宋体" w:eastAsia="宋体"/>
          <w:sz w:val="24"/>
          <w:szCs w:val="24"/>
        </w:rPr>
      </w:pPr>
      <w:r>
        <w:rPr>
          <w:rFonts w:hint="eastAsia" w:hAnsi="宋体" w:eastAsia="宋体"/>
          <w:sz w:val="24"/>
          <w:szCs w:val="24"/>
        </w:rPr>
        <w:t>（2）密封的响应文件应：</w:t>
      </w:r>
    </w:p>
    <w:p>
      <w:pPr>
        <w:pStyle w:val="39"/>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9"/>
        <w:snapToGrid w:val="0"/>
        <w:rPr>
          <w:rFonts w:hint="eastAsia" w:hAnsi="宋体" w:eastAsia="宋体"/>
          <w:sz w:val="24"/>
          <w:szCs w:val="24"/>
        </w:rPr>
      </w:pPr>
      <w:r>
        <w:rPr>
          <w:rFonts w:hint="eastAsia" w:hAnsi="宋体" w:eastAsia="宋体"/>
          <w:sz w:val="24"/>
          <w:szCs w:val="24"/>
        </w:rPr>
        <w:t>2）注明磋商项目名称、项目编号。</w:t>
      </w:r>
    </w:p>
    <w:p>
      <w:pPr>
        <w:pStyle w:val="39"/>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20823298"/>
      <w:bookmarkStart w:id="82" w:name="_Toc513029226"/>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9"/>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9"/>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9"/>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9"/>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9"/>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39"/>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9"/>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9"/>
        <w:snapToGrid w:val="0"/>
        <w:rPr>
          <w:rFonts w:hint="eastAsia" w:hAnsi="宋体" w:eastAsia="宋体"/>
          <w:sz w:val="24"/>
          <w:szCs w:val="24"/>
        </w:rPr>
      </w:pPr>
      <w:bookmarkStart w:id="93" w:name="_Toc16938551"/>
      <w:bookmarkStart w:id="94" w:name="_Toc513029235"/>
      <w:bookmarkStart w:id="95" w:name="_Toc20823307"/>
      <w:r>
        <w:rPr>
          <w:rFonts w:hint="eastAsia" w:hAnsi="宋体" w:eastAsia="宋体"/>
          <w:sz w:val="24"/>
          <w:szCs w:val="24"/>
        </w:rPr>
        <w:t>（1）响应无效条款</w:t>
      </w:r>
    </w:p>
    <w:p>
      <w:pPr>
        <w:pStyle w:val="36"/>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6"/>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6"/>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6"/>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9"/>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6"/>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6"/>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9"/>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9"/>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120614220"/>
      <w:bookmarkStart w:id="99" w:name="_Toc403987211"/>
      <w:bookmarkStart w:id="100" w:name="_Toc20823308"/>
      <w:bookmarkStart w:id="101" w:name="_Toc16938552"/>
      <w:bookmarkStart w:id="102" w:name="_Toc513029236"/>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39"/>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9"/>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9"/>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9"/>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w:t>
      </w:r>
      <w:r>
        <w:rPr>
          <w:rFonts w:hint="eastAsia" w:hAnsi="宋体" w:eastAsia="宋体"/>
          <w:sz w:val="24"/>
          <w:szCs w:val="24"/>
        </w:rPr>
        <w:t>。</w:t>
      </w:r>
    </w:p>
    <w:bookmarkEnd w:id="106"/>
    <w:p>
      <w:pPr>
        <w:pStyle w:val="39"/>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bCs/>
          <w:sz w:val="24"/>
          <w:szCs w:val="24"/>
          <w:lang w:eastAsia="zh-CN"/>
        </w:rPr>
        <w:t>项目单位</w:t>
      </w:r>
      <w:r>
        <w:rPr>
          <w:rFonts w:hint="eastAsia" w:hAnsi="宋体" w:eastAsia="宋体"/>
          <w:sz w:val="24"/>
          <w:szCs w:val="24"/>
        </w:rPr>
        <w:t>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eastAsia="宋体" w:cs="宋体"/>
          <w:kern w:val="0"/>
          <w:sz w:val="24"/>
          <w:szCs w:val="24"/>
          <w:shd w:val="clear" w:color="auto" w:fill="FFFFFF"/>
          <w:lang w:eastAsia="zh-CN"/>
        </w:rPr>
      </w:pPr>
      <w:r>
        <w:rPr>
          <w:rFonts w:hint="eastAsia" w:ascii="宋体" w:hAnsi="宋体" w:cs="宋体"/>
          <w:kern w:val="0"/>
          <w:sz w:val="24"/>
          <w:szCs w:val="24"/>
          <w:shd w:val="clear" w:color="auto" w:fill="FFFFFF"/>
        </w:rPr>
        <w:t xml:space="preserve"> 1.联系部门：皖南医学院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r>
        <w:rPr>
          <w:rFonts w:hint="eastAsia" w:ascii="宋体" w:hAnsi="宋体" w:cs="宋体"/>
          <w:kern w:val="0"/>
          <w:sz w:val="24"/>
          <w:szCs w:val="24"/>
          <w:shd w:val="clear" w:color="auto" w:fill="FFFFFF"/>
          <w:lang w:eastAsia="zh-CN"/>
        </w:rPr>
        <w:t>；</w:t>
      </w:r>
      <w:r>
        <w:rPr>
          <w:rFonts w:hint="eastAsia" w:ascii="宋体" w:hAnsi="宋体" w:cs="宋体"/>
          <w:kern w:val="0"/>
          <w:sz w:val="24"/>
          <w:szCs w:val="24"/>
          <w:shd w:val="clear" w:color="auto" w:fill="FFFFFF"/>
        </w:rPr>
        <w:br w:type="textWrapping"/>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 xml:space="preserve">  </w:t>
      </w:r>
      <w:r>
        <w:rPr>
          <w:rFonts w:hint="eastAsia" w:ascii="宋体" w:hAnsi="宋体" w:cs="宋体"/>
          <w:kern w:val="0"/>
          <w:sz w:val="24"/>
          <w:szCs w:val="24"/>
          <w:shd w:val="clear" w:color="auto" w:fill="FFFFFF"/>
        </w:rPr>
        <w:t xml:space="preserve"> 2.联系电话：0553-3932826</w:t>
      </w:r>
      <w:r>
        <w:rPr>
          <w:rFonts w:hint="eastAsia" w:ascii="宋体" w:hAnsi="宋体" w:cs="宋体"/>
          <w:kern w:val="0"/>
          <w:sz w:val="24"/>
          <w:szCs w:val="24"/>
          <w:shd w:val="clear" w:color="auto" w:fill="FFFFFF"/>
          <w:lang w:eastAsia="zh-CN"/>
        </w:rPr>
        <w:t>；</w:t>
      </w:r>
      <w:r>
        <w:rPr>
          <w:rFonts w:hint="eastAsia" w:ascii="宋体" w:hAnsi="宋体" w:cs="宋体"/>
          <w:kern w:val="0"/>
          <w:sz w:val="24"/>
          <w:szCs w:val="24"/>
          <w:shd w:val="clear" w:color="auto" w:fill="FFFFFF"/>
        </w:rPr>
        <w:br w:type="textWrapping"/>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 xml:space="preserve">  </w:t>
      </w: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eastAsia="zh-CN"/>
        </w:rPr>
        <w:t>纪委</w:t>
      </w:r>
      <w:r>
        <w:rPr>
          <w:rFonts w:hint="eastAsia" w:ascii="宋体" w:hAnsi="宋体" w:cs="宋体"/>
          <w:kern w:val="0"/>
          <w:sz w:val="24"/>
          <w:szCs w:val="24"/>
          <w:shd w:val="clear" w:color="auto" w:fill="FFFFFF"/>
        </w:rPr>
        <w:t>办公室</w:t>
      </w:r>
      <w:r>
        <w:rPr>
          <w:rFonts w:hint="eastAsia" w:ascii="宋体" w:hAnsi="宋体" w:cs="宋体"/>
          <w:kern w:val="0"/>
          <w:sz w:val="24"/>
          <w:szCs w:val="24"/>
          <w:shd w:val="clear" w:color="auto" w:fill="FFFFFF"/>
          <w:lang w:eastAsia="zh-CN"/>
        </w:rPr>
        <w:t>。</w:t>
      </w:r>
    </w:p>
    <w:p>
      <w:pPr>
        <w:pStyle w:val="39"/>
        <w:snapToGrid w:val="0"/>
        <w:ind w:left="0" w:leftChars="0" w:right="280" w:rightChars="100" w:firstLine="0" w:firstLineChars="0"/>
        <w:rPr>
          <w:rFonts w:ascii="仿宋_GB2312" w:hAnsi="宋体" w:eastAsia="仿宋_GB2312"/>
          <w:bCs/>
          <w:szCs w:val="28"/>
        </w:rPr>
      </w:pPr>
    </w:p>
    <w:p>
      <w:pPr>
        <w:pStyle w:val="39"/>
        <w:snapToGrid w:val="0"/>
        <w:ind w:left="0" w:leftChars="0" w:right="280" w:rightChars="100" w:firstLine="0" w:firstLineChars="0"/>
        <w:rPr>
          <w:rFonts w:ascii="仿宋_GB2312" w:hAnsi="宋体" w:eastAsia="仿宋_GB2312"/>
          <w:bCs/>
          <w:szCs w:val="28"/>
        </w:rPr>
      </w:pPr>
    </w:p>
    <w:p>
      <w:pPr>
        <w:pStyle w:val="5"/>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rPr>
          <w:rFonts w:hint="eastAsia" w:ascii="华文中宋" w:hAnsi="华文中宋" w:eastAsia="华文中宋"/>
          <w:bCs/>
          <w:color w:val="auto"/>
          <w:highlight w:val="none"/>
        </w:rPr>
      </w:pPr>
    </w:p>
    <w:p>
      <w:pPr>
        <w:pStyle w:val="26"/>
        <w:rPr>
          <w:rFonts w:hint="eastAsia" w:ascii="华文中宋" w:hAnsi="华文中宋" w:eastAsia="华文中宋"/>
          <w:bCs/>
          <w:color w:val="auto"/>
          <w:highlight w:val="none"/>
        </w:rPr>
      </w:pPr>
    </w:p>
    <w:p>
      <w:pPr>
        <w:pStyle w:val="22"/>
        <w:rPr>
          <w:rFonts w:hint="eastAsia" w:ascii="华文中宋" w:hAnsi="华文中宋" w:eastAsia="华文中宋"/>
          <w:bCs/>
          <w:color w:val="auto"/>
          <w:highlight w:val="none"/>
        </w:rPr>
      </w:pPr>
    </w:p>
    <w:p>
      <w:pPr>
        <w:pStyle w:val="22"/>
        <w:rPr>
          <w:rFonts w:hint="eastAsia" w:ascii="华文中宋" w:hAnsi="华文中宋" w:eastAsia="华文中宋"/>
          <w:bCs/>
          <w:color w:val="auto"/>
          <w:highlight w:val="none"/>
        </w:rPr>
      </w:pPr>
    </w:p>
    <w:p>
      <w:pPr>
        <w:spacing w:line="720" w:lineRule="auto"/>
        <w:jc w:val="center"/>
        <w:rPr>
          <w:rFonts w:hint="eastAsia" w:eastAsia="黑体"/>
          <w:spacing w:val="80"/>
          <w:sz w:val="84"/>
        </w:rPr>
      </w:pPr>
      <w:r>
        <w:rPr>
          <w:rFonts w:hint="eastAsia" w:eastAsia="黑体"/>
          <w:spacing w:val="80"/>
          <w:sz w:val="84"/>
        </w:rPr>
        <w:t>工  程  检  测</w:t>
      </w:r>
    </w:p>
    <w:p>
      <w:pPr>
        <w:spacing w:line="720" w:lineRule="auto"/>
        <w:jc w:val="center"/>
        <w:rPr>
          <w:rFonts w:hint="eastAsia" w:eastAsia="黑体"/>
          <w:spacing w:val="80"/>
          <w:sz w:val="84"/>
        </w:rPr>
      </w:pPr>
      <w:r>
        <w:rPr>
          <w:rFonts w:hint="eastAsia" w:eastAsia="黑体"/>
          <w:spacing w:val="80"/>
          <w:sz w:val="84"/>
        </w:rPr>
        <w:t>协 议 书</w:t>
      </w:r>
    </w:p>
    <w:p>
      <w:pPr>
        <w:spacing w:line="720" w:lineRule="auto"/>
        <w:jc w:val="center"/>
        <w:rPr>
          <w:rFonts w:hint="eastAsia"/>
          <w:b/>
          <w:sz w:val="84"/>
        </w:rPr>
      </w:pPr>
    </w:p>
    <w:p>
      <w:pPr>
        <w:spacing w:line="720" w:lineRule="auto"/>
        <w:jc w:val="center"/>
        <w:rPr>
          <w:rFonts w:hint="eastAsia"/>
          <w:b/>
          <w:sz w:val="84"/>
        </w:rPr>
      </w:pPr>
    </w:p>
    <w:p>
      <w:pPr>
        <w:spacing w:line="720" w:lineRule="auto"/>
        <w:jc w:val="center"/>
        <w:rPr>
          <w:rFonts w:hint="eastAsia"/>
        </w:rPr>
      </w:pPr>
    </w:p>
    <w:p>
      <w:pPr>
        <w:jc w:val="both"/>
        <w:rPr>
          <w:rFonts w:hint="eastAsia" w:eastAsia="宋体"/>
          <w:sz w:val="36"/>
          <w:szCs w:val="36"/>
          <w:u w:val="single"/>
          <w:lang w:val="en-US" w:eastAsia="zh-CN"/>
        </w:rPr>
      </w:pPr>
      <w:r>
        <w:rPr>
          <w:spacing w:val="30"/>
          <w:sz w:val="36"/>
        </w:rPr>
        <mc:AlternateContent>
          <mc:Choice Requires="wps">
            <w:drawing>
              <wp:anchor distT="0" distB="0" distL="114300" distR="114300" simplePos="0" relativeHeight="251661312" behindDoc="0" locked="0" layoutInCell="1" allowOverlap="1">
                <wp:simplePos x="0" y="0"/>
                <wp:positionH relativeFrom="column">
                  <wp:posOffset>1638300</wp:posOffset>
                </wp:positionH>
                <wp:positionV relativeFrom="paragraph">
                  <wp:posOffset>421640</wp:posOffset>
                </wp:positionV>
                <wp:extent cx="4295775" cy="0"/>
                <wp:effectExtent l="0" t="0" r="0" b="0"/>
                <wp:wrapNone/>
                <wp:docPr id="3" name="直线 6"/>
                <wp:cNvGraphicFramePr/>
                <a:graphic xmlns:a="http://schemas.openxmlformats.org/drawingml/2006/main">
                  <a:graphicData uri="http://schemas.microsoft.com/office/word/2010/wordprocessingShape">
                    <wps:wsp>
                      <wps:cNvCnPr/>
                      <wps:spPr>
                        <a:xfrm>
                          <a:off x="0" y="0"/>
                          <a:ext cx="4295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9pt;margin-top:33.2pt;height:0pt;width:338.25pt;z-index:251661312;mso-width-relative:page;mso-height-relative:page;" filled="f" stroked="t" coordsize="21600,21600" o:gfxdata="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OV&#10;+9gAAAAJAQAADwAAAAAAAAABACAAAAAiAAAAZHJzL2Rvd25yZXYueG1sUEsBAhQAFAAAAAgAh07i&#10;QKXy11zpAQAA2wMAAA4AAAAAAAAAAQAgAAAAJwEAAGRycy9lMm9Eb2MueG1sUEsFBgAAAAAGAAYA&#10;WQEAAIIFAAAAAA==&#10;">
                <v:fill on="f" focussize="0,0"/>
                <v:stroke color="#000000" joinstyle="round"/>
                <v:imagedata o:title=""/>
                <o:lock v:ext="edit" aspectratio="f"/>
              </v:line>
            </w:pict>
          </mc:Fallback>
        </mc:AlternateContent>
      </w:r>
      <w:r>
        <w:rPr>
          <w:rFonts w:hint="eastAsia"/>
          <w:spacing w:val="30"/>
          <w:sz w:val="36"/>
        </w:rPr>
        <w:t>工 程 名 称</w:t>
      </w:r>
      <w:r>
        <w:rPr>
          <w:rFonts w:hint="eastAsia"/>
          <w:spacing w:val="30"/>
          <w:sz w:val="36"/>
          <w:lang w:eastAsia="zh-CN"/>
        </w:rPr>
        <w:t>：</w:t>
      </w:r>
      <w:r>
        <w:rPr>
          <w:rFonts w:hint="eastAsia" w:eastAsia="宋体" w:cs="Times New Roman"/>
          <w:sz w:val="28"/>
          <w:szCs w:val="28"/>
          <w:lang w:val="en-US" w:eastAsia="zh-CN"/>
        </w:rPr>
        <w:t>皖南医学院楼宇钢网架等安全检测鉴定项目</w:t>
      </w:r>
    </w:p>
    <w:p>
      <w:pPr>
        <w:rPr>
          <w:rFonts w:hint="eastAsia"/>
          <w:sz w:val="30"/>
        </w:rPr>
      </w:pPr>
      <w:r>
        <w:rPr>
          <w:spacing w:val="30"/>
          <w:sz w:val="36"/>
        </w:rPr>
        <mc:AlternateContent>
          <mc:Choice Requires="wps">
            <w:drawing>
              <wp:anchor distT="0" distB="0" distL="114300" distR="114300" simplePos="0" relativeHeight="251662336" behindDoc="0" locked="0" layoutInCell="1" allowOverlap="1">
                <wp:simplePos x="0" y="0"/>
                <wp:positionH relativeFrom="column">
                  <wp:posOffset>1625600</wp:posOffset>
                </wp:positionH>
                <wp:positionV relativeFrom="paragraph">
                  <wp:posOffset>358140</wp:posOffset>
                </wp:positionV>
                <wp:extent cx="4308475" cy="0"/>
                <wp:effectExtent l="0" t="0" r="0" b="0"/>
                <wp:wrapNone/>
                <wp:docPr id="4" name="直线 7"/>
                <wp:cNvGraphicFramePr/>
                <a:graphic xmlns:a="http://schemas.openxmlformats.org/drawingml/2006/main">
                  <a:graphicData uri="http://schemas.microsoft.com/office/word/2010/wordprocessingShape">
                    <wps:wsp>
                      <wps:cNvCnPr/>
                      <wps:spPr>
                        <a:xfrm>
                          <a:off x="0" y="0"/>
                          <a:ext cx="4308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8pt;margin-top:28.2pt;height:0pt;width:339.25pt;z-index:251662336;mso-width-relative:page;mso-height-relative:page;" filled="f" stroked="t" coordsize="21600,21600" o:gfxdata="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K0T&#10;rtgAAAAJAQAADwAAAAAAAAABACAAAAAiAAAAZHJzL2Rvd25yZXYueG1sUEsBAhQAFAAAAAgAh07i&#10;QLqd/THpAQAA2wMAAA4AAAAAAAAAAQAgAAAAJwEAAGRycy9lMm9Eb2MueG1sUEsFBgAAAAAGAAYA&#10;WQEAAIIFAAAAAA==&#10;">
                <v:fill on="f" focussize="0,0"/>
                <v:stroke color="#000000" joinstyle="round"/>
                <v:imagedata o:title=""/>
                <o:lock v:ext="edit" aspectratio="f"/>
              </v:line>
            </w:pict>
          </mc:Fallback>
        </mc:AlternateContent>
      </w:r>
      <w:r>
        <w:rPr>
          <w:rFonts w:hint="eastAsia"/>
          <w:sz w:val="36"/>
        </w:rPr>
        <w:t>委托单位(甲方)：</w:t>
      </w:r>
      <w:r>
        <w:rPr>
          <w:rFonts w:hint="eastAsia"/>
          <w:sz w:val="28"/>
          <w:szCs w:val="28"/>
        </w:rPr>
        <w:t>皖南医学院</w:t>
      </w:r>
    </w:p>
    <w:p>
      <w:pPr>
        <w:spacing w:line="720" w:lineRule="auto"/>
        <w:ind w:left="2520" w:hanging="2520"/>
        <w:rPr>
          <w:rFonts w:hint="eastAsia"/>
          <w:sz w:val="36"/>
          <w:u w:val="single"/>
        </w:rPr>
      </w:pPr>
      <w:r>
        <w:rPr>
          <w:spacing w:val="30"/>
          <w:sz w:val="36"/>
        </w:rPr>
        <mc:AlternateContent>
          <mc:Choice Requires="wps">
            <w:drawing>
              <wp:anchor distT="0" distB="0" distL="114300" distR="114300" simplePos="0" relativeHeight="251663360" behindDoc="0" locked="0" layoutInCell="1" allowOverlap="1">
                <wp:simplePos x="0" y="0"/>
                <wp:positionH relativeFrom="column">
                  <wp:posOffset>1635760</wp:posOffset>
                </wp:positionH>
                <wp:positionV relativeFrom="paragraph">
                  <wp:posOffset>408305</wp:posOffset>
                </wp:positionV>
                <wp:extent cx="4298315" cy="4445"/>
                <wp:effectExtent l="0" t="0" r="0" b="0"/>
                <wp:wrapNone/>
                <wp:docPr id="5" name="直线 8"/>
                <wp:cNvGraphicFramePr/>
                <a:graphic xmlns:a="http://schemas.openxmlformats.org/drawingml/2006/main">
                  <a:graphicData uri="http://schemas.microsoft.com/office/word/2010/wordprocessingShape">
                    <wps:wsp>
                      <wps:cNvCnPr/>
                      <wps:spPr>
                        <a:xfrm flipV="1">
                          <a:off x="0" y="0"/>
                          <a:ext cx="429831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8.8pt;margin-top:32.15pt;height:0.35pt;width:338.45pt;z-index:251663360;mso-width-relative:page;mso-height-relative:page;" filled="f" stroked="t" coordsize="21600,21600" o:gfxdata="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aaXb2AAAAAkBAAAPAAAAAAAAAAEAIAAAACIAAABkcnMvZG93bnJldi54bWxQSwECFAAU&#10;AAAACACHTuJACQiS3vEBAADoAwAADgAAAAAAAAABACAAAAAnAQAAZHJzL2Uyb0RvYy54bWxQSwUG&#10;AAAAAAYABgBZAQAAigUAAAAA&#10;">
                <v:fill on="f" focussize="0,0"/>
                <v:stroke color="#000000" joinstyle="round"/>
                <v:imagedata o:title=""/>
                <o:lock v:ext="edit" aspectratio="f"/>
              </v:line>
            </w:pict>
          </mc:Fallback>
        </mc:AlternateContent>
      </w:r>
      <w:r>
        <w:rPr>
          <w:rFonts w:hint="eastAsia"/>
          <w:sz w:val="36"/>
        </w:rPr>
        <w:t xml:space="preserve">检测单位(乙方)：   </w:t>
      </w:r>
    </w:p>
    <w:p>
      <w:pPr>
        <w:spacing w:line="720" w:lineRule="auto"/>
        <w:rPr>
          <w:rFonts w:hint="eastAsia"/>
          <w:sz w:val="36"/>
          <w:u w:val="single"/>
        </w:rPr>
      </w:pPr>
    </w:p>
    <w:p>
      <w:pPr>
        <w:spacing w:line="560" w:lineRule="exact"/>
        <w:rPr>
          <w:rFonts w:hint="eastAsia"/>
          <w:b/>
          <w:sz w:val="28"/>
        </w:rPr>
      </w:pPr>
    </w:p>
    <w:p>
      <w:pPr>
        <w:spacing w:line="500" w:lineRule="exact"/>
        <w:ind w:firstLine="562" w:firstLineChars="200"/>
        <w:rPr>
          <w:rFonts w:hint="eastAsia"/>
          <w:b/>
          <w:sz w:val="28"/>
        </w:rPr>
      </w:pPr>
    </w:p>
    <w:p>
      <w:pPr>
        <w:spacing w:line="500" w:lineRule="exact"/>
        <w:rPr>
          <w:rFonts w:hint="eastAsia"/>
          <w:b/>
          <w:sz w:val="28"/>
        </w:rPr>
      </w:pPr>
    </w:p>
    <w:p>
      <w:pPr>
        <w:spacing w:line="500" w:lineRule="exact"/>
        <w:ind w:firstLine="560" w:firstLineChars="200"/>
        <w:rPr>
          <w:rFonts w:hint="eastAsia"/>
          <w:sz w:val="28"/>
        </w:rPr>
      </w:pPr>
    </w:p>
    <w:p>
      <w:pPr>
        <w:spacing w:line="360" w:lineRule="auto"/>
        <w:rPr>
          <w:rFonts w:ascii="宋体" w:hAnsi="宋体" w:cs="宋体"/>
          <w:b/>
          <w:bCs/>
          <w:sz w:val="28"/>
          <w:szCs w:val="28"/>
        </w:rPr>
      </w:pPr>
      <w:r>
        <w:rPr>
          <w:rFonts w:hint="eastAsia" w:ascii="宋体" w:hAnsi="宋体" w:cs="宋体"/>
          <w:b/>
          <w:bCs/>
          <w:sz w:val="28"/>
          <w:szCs w:val="28"/>
        </w:rPr>
        <w:t>一、工程概况</w:t>
      </w:r>
    </w:p>
    <w:p>
      <w:pPr>
        <w:ind w:firstLine="560" w:firstLineChars="200"/>
        <w:jc w:val="both"/>
        <w:rPr>
          <w:rFonts w:hint="eastAsia" w:eastAsia="宋体" w:cs="Times New Roman"/>
          <w:sz w:val="28"/>
          <w:szCs w:val="28"/>
          <w:lang w:val="en-US" w:eastAsia="zh-CN"/>
        </w:rPr>
      </w:pPr>
      <w:r>
        <w:rPr>
          <w:rFonts w:hint="eastAsia" w:ascii="宋体" w:hAnsi="宋体" w:cs="宋体"/>
          <w:sz w:val="28"/>
          <w:szCs w:val="28"/>
        </w:rPr>
        <w:t>1.工程名称：</w:t>
      </w:r>
      <w:r>
        <w:rPr>
          <w:rFonts w:hint="eastAsia" w:eastAsia="宋体" w:cs="Times New Roman"/>
          <w:sz w:val="28"/>
          <w:szCs w:val="28"/>
          <w:lang w:val="en-US" w:eastAsia="zh-CN"/>
        </w:rPr>
        <w:t>皖南医学院楼宇钢网架等安全检测鉴定项目</w:t>
      </w:r>
    </w:p>
    <w:p>
      <w:pPr>
        <w:ind w:firstLine="2240" w:firstLineChars="800"/>
        <w:jc w:val="both"/>
        <w:rPr>
          <w:rFonts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GYGZ2022015-1</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2.工程地点：</w:t>
      </w:r>
      <w:r>
        <w:rPr>
          <w:rFonts w:hint="eastAsia" w:ascii="宋体" w:hAnsi="宋体" w:cs="宋体"/>
          <w:sz w:val="28"/>
          <w:szCs w:val="28"/>
          <w:u w:val="single"/>
        </w:rPr>
        <w:t xml:space="preserve">  皖南医学院滨江及赭麓校区</w:t>
      </w:r>
    </w:p>
    <w:p>
      <w:pPr>
        <w:spacing w:line="360" w:lineRule="auto"/>
        <w:ind w:firstLine="560" w:firstLineChars="200"/>
        <w:rPr>
          <w:rFonts w:ascii="宋体" w:hAnsi="宋体" w:cs="宋体"/>
          <w:sz w:val="28"/>
          <w:szCs w:val="28"/>
        </w:rPr>
      </w:pPr>
      <w:r>
        <w:rPr>
          <w:rFonts w:hint="eastAsia" w:ascii="宋体" w:hAnsi="宋体" w:cs="宋体"/>
          <w:sz w:val="28"/>
          <w:szCs w:val="28"/>
        </w:rPr>
        <w:t>3.合同价：</w:t>
      </w:r>
      <w:r>
        <w:rPr>
          <w:rFonts w:hint="eastAsia" w:ascii="宋体" w:hAnsi="宋体" w:cs="宋体"/>
          <w:sz w:val="28"/>
          <w:szCs w:val="28"/>
          <w:u w:val="single"/>
        </w:rPr>
        <w:t xml:space="preserve">                            </w:t>
      </w:r>
      <w:r>
        <w:rPr>
          <w:rFonts w:hint="eastAsia" w:ascii="宋体" w:hAnsi="宋体" w:cs="宋体"/>
          <w:sz w:val="28"/>
          <w:szCs w:val="28"/>
        </w:rPr>
        <w:t>（小写：</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4.合同工期：工期</w:t>
      </w:r>
      <w:r>
        <w:rPr>
          <w:rFonts w:hint="eastAsia" w:ascii="宋体" w:hAnsi="宋体" w:cs="宋体"/>
          <w:sz w:val="28"/>
          <w:szCs w:val="28"/>
          <w:u w:val="single"/>
        </w:rPr>
        <w:t xml:space="preserve">  60  </w:t>
      </w:r>
      <w:r>
        <w:rPr>
          <w:rFonts w:hint="eastAsia" w:ascii="宋体" w:hAnsi="宋体" w:cs="宋体"/>
          <w:sz w:val="28"/>
          <w:szCs w:val="28"/>
        </w:rPr>
        <w:t>日历天，从甲方书面通知进场检测时间开始计算。因乙方原因推迟的按</w:t>
      </w:r>
      <w:r>
        <w:rPr>
          <w:rFonts w:hint="eastAsia" w:ascii="宋体" w:hAnsi="宋体" w:cs="宋体"/>
          <w:sz w:val="28"/>
          <w:szCs w:val="28"/>
          <w:u w:val="single"/>
        </w:rPr>
        <w:t xml:space="preserve"> 1000.00  </w:t>
      </w:r>
      <w:r>
        <w:rPr>
          <w:rFonts w:hint="eastAsia" w:ascii="宋体" w:hAnsi="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rPr>
          <w:rFonts w:ascii="宋体" w:hAnsi="宋体" w:cs="宋体"/>
          <w:b/>
          <w:sz w:val="28"/>
          <w:szCs w:val="28"/>
        </w:rPr>
      </w:pPr>
      <w:r>
        <w:rPr>
          <w:rFonts w:hint="eastAsia" w:ascii="宋体" w:hAnsi="宋体" w:cs="宋体"/>
          <w:b/>
          <w:sz w:val="28"/>
          <w:szCs w:val="28"/>
        </w:rPr>
        <w:t>二、合同文件构成</w:t>
      </w:r>
    </w:p>
    <w:p>
      <w:pPr>
        <w:spacing w:line="360" w:lineRule="auto"/>
        <w:ind w:firstLine="560" w:firstLineChars="200"/>
        <w:rPr>
          <w:rFonts w:ascii="宋体" w:hAnsi="宋体"/>
          <w:bCs/>
          <w:color w:val="000000"/>
          <w:sz w:val="28"/>
          <w:szCs w:val="28"/>
        </w:rPr>
      </w:pPr>
      <w:r>
        <w:rPr>
          <w:rFonts w:ascii="宋体" w:hAnsi="宋体"/>
          <w:bCs/>
          <w:color w:val="000000"/>
          <w:sz w:val="28"/>
          <w:szCs w:val="28"/>
        </w:rPr>
        <w:t>本</w:t>
      </w:r>
      <w:r>
        <w:rPr>
          <w:rFonts w:hint="eastAsia" w:ascii="宋体" w:hAnsi="宋体"/>
          <w:bCs/>
          <w:color w:val="000000"/>
          <w:sz w:val="28"/>
          <w:szCs w:val="28"/>
        </w:rPr>
        <w:t>合同</w:t>
      </w:r>
      <w:r>
        <w:rPr>
          <w:rFonts w:ascii="宋体" w:hAnsi="宋体"/>
          <w:bCs/>
          <w:color w:val="000000"/>
          <w:sz w:val="28"/>
          <w:szCs w:val="28"/>
        </w:rPr>
        <w:t>与下列文件一起构成合同文件：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ascii="宋体" w:hAnsi="宋体"/>
          <w:color w:val="000000"/>
          <w:sz w:val="28"/>
          <w:szCs w:val="28"/>
        </w:rPr>
        <w:t>中标通知书；</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.采购文件</w:t>
      </w:r>
      <w:r>
        <w:rPr>
          <w:rFonts w:ascii="宋体" w:hAnsi="宋体"/>
          <w:color w:val="000000"/>
          <w:sz w:val="28"/>
          <w:szCs w:val="28"/>
        </w:rPr>
        <w:t xml:space="preserve">； </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投标</w:t>
      </w:r>
      <w:r>
        <w:rPr>
          <w:rFonts w:hint="eastAsia" w:ascii="宋体" w:hAnsi="宋体"/>
          <w:color w:val="000000"/>
          <w:sz w:val="28"/>
          <w:szCs w:val="28"/>
        </w:rPr>
        <w:t>文件</w:t>
      </w:r>
      <w:r>
        <w:rPr>
          <w:rFonts w:ascii="宋体" w:hAnsi="宋体"/>
          <w:color w:val="000000"/>
          <w:sz w:val="28"/>
          <w:szCs w:val="28"/>
        </w:rPr>
        <w:t>；</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其他合同文件。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在合同订立及履行过程中形成的与合同有关的文件均构成合同文件组成部分。</w:t>
      </w:r>
    </w:p>
    <w:p>
      <w:pPr>
        <w:spacing w:line="360" w:lineRule="auto"/>
        <w:ind w:firstLine="560" w:firstLineChars="200"/>
        <w:rPr>
          <w:rFonts w:ascii="宋体" w:hAnsi="宋体" w:cs="宋体"/>
          <w:sz w:val="28"/>
          <w:szCs w:val="28"/>
        </w:rPr>
      </w:pPr>
      <w:r>
        <w:rPr>
          <w:rFonts w:ascii="宋体" w:hAnsi="宋体"/>
          <w:color w:val="000000"/>
          <w:sz w:val="28"/>
          <w:szCs w:val="28"/>
        </w:rPr>
        <w:t>上述各项合同文件包括合同当事人就该项合同文件所作出的补充和修改，属于同一类内容的文件，应以最新签署的为准。</w:t>
      </w:r>
    </w:p>
    <w:p>
      <w:pPr>
        <w:spacing w:line="360" w:lineRule="auto"/>
        <w:rPr>
          <w:rFonts w:ascii="宋体" w:hAnsi="宋体" w:cs="宋体"/>
          <w:b/>
          <w:sz w:val="28"/>
          <w:szCs w:val="28"/>
        </w:rPr>
      </w:pPr>
      <w:r>
        <w:rPr>
          <w:rFonts w:hint="eastAsia" w:ascii="宋体" w:hAnsi="宋体" w:cs="宋体"/>
          <w:b/>
          <w:sz w:val="28"/>
          <w:szCs w:val="28"/>
        </w:rPr>
        <w:t>三、付款方式：</w:t>
      </w:r>
    </w:p>
    <w:p>
      <w:pPr>
        <w:spacing w:line="600" w:lineRule="exact"/>
        <w:ind w:firstLine="560" w:firstLineChars="200"/>
        <w:jc w:val="both"/>
        <w:rPr>
          <w:color w:val="000000"/>
          <w:sz w:val="28"/>
          <w:szCs w:val="28"/>
        </w:rPr>
      </w:pPr>
      <w:r>
        <w:rPr>
          <w:rFonts w:hint="eastAsia" w:ascii="宋体" w:hAnsi="宋体" w:cs="宋体"/>
          <w:color w:val="000000"/>
          <w:sz w:val="28"/>
          <w:szCs w:val="28"/>
        </w:rPr>
        <w:t>工程在工期内（含</w:t>
      </w:r>
      <w:r>
        <w:rPr>
          <w:rFonts w:hint="eastAsia"/>
          <w:color w:val="000000"/>
          <w:sz w:val="28"/>
          <w:szCs w:val="28"/>
        </w:rPr>
        <w:t>局部破损性试验按原样恢复所需要的时间</w:t>
      </w:r>
      <w:r>
        <w:rPr>
          <w:rFonts w:hint="eastAsia" w:ascii="宋体" w:hAnsi="宋体" w:cs="宋体"/>
          <w:color w:val="000000"/>
          <w:sz w:val="28"/>
          <w:szCs w:val="28"/>
        </w:rPr>
        <w:t>）提交合格的</w:t>
      </w:r>
      <w:r>
        <w:rPr>
          <w:rFonts w:hint="eastAsia"/>
          <w:color w:val="000000"/>
          <w:sz w:val="28"/>
          <w:szCs w:val="28"/>
        </w:rPr>
        <w:t>安全检测鉴定报告（捌份原件）以及后期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color w:val="000000"/>
          <w:sz w:val="28"/>
          <w:szCs w:val="28"/>
        </w:rPr>
        <w:t xml:space="preserve"> </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46"/>
        <w:spacing w:line="600" w:lineRule="exact"/>
        <w:rPr>
          <w:b/>
          <w:kern w:val="2"/>
          <w:sz w:val="28"/>
          <w:szCs w:val="28"/>
        </w:rPr>
      </w:pPr>
      <w:r>
        <w:rPr>
          <w:rFonts w:hint="eastAsia"/>
          <w:b/>
          <w:kern w:val="2"/>
          <w:sz w:val="28"/>
          <w:szCs w:val="28"/>
        </w:rPr>
        <w:t>四、安全文明施工：</w:t>
      </w:r>
    </w:p>
    <w:p>
      <w:pPr>
        <w:pStyle w:val="46"/>
        <w:spacing w:line="600" w:lineRule="exact"/>
        <w:ind w:firstLine="700" w:firstLineChars="250"/>
        <w:rPr>
          <w:kern w:val="2"/>
          <w:sz w:val="28"/>
          <w:szCs w:val="28"/>
        </w:rPr>
      </w:pPr>
      <w:r>
        <w:rPr>
          <w:rFonts w:hint="eastAsia"/>
          <w:kern w:val="2"/>
          <w:sz w:val="28"/>
          <w:szCs w:val="28"/>
        </w:rPr>
        <w:t>本项目大部分作业面为高空作业，中标人应制定安全作业细则并在现场检测时严格执行，否则承担由此带来的一切安全后果：</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检测人员进入现场要戴安全帽、高空操作时必须系好安全带且高空作业人员须持证上岗；</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现场接电时，要由持证专业人员操作；</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检测产生的混凝土碎屑等垃圾应打包归堆并清理出校园至芜湖市市容局指定地点；</w:t>
      </w:r>
    </w:p>
    <w:p>
      <w:pPr>
        <w:spacing w:line="360" w:lineRule="auto"/>
        <w:rPr>
          <w:rFonts w:ascii="宋体" w:hAnsi="宋体" w:cs="宋体"/>
          <w:b/>
          <w:sz w:val="28"/>
          <w:szCs w:val="28"/>
        </w:rPr>
      </w:pPr>
      <w:r>
        <w:rPr>
          <w:rFonts w:hint="eastAsia" w:ascii="宋体" w:hAnsi="宋体" w:cs="宋体"/>
          <w:b/>
          <w:sz w:val="28"/>
          <w:szCs w:val="28"/>
        </w:rPr>
        <w:t>五、现场管理与甲乙双方责任</w:t>
      </w:r>
    </w:p>
    <w:p>
      <w:pPr>
        <w:spacing w:line="360" w:lineRule="auto"/>
        <w:ind w:firstLine="560" w:firstLineChars="200"/>
        <w:rPr>
          <w:rFonts w:ascii="宋体" w:hAnsi="宋体" w:cs="宋体"/>
          <w:sz w:val="28"/>
          <w:szCs w:val="28"/>
        </w:rPr>
      </w:pPr>
      <w:r>
        <w:rPr>
          <w:rFonts w:hint="eastAsia" w:ascii="宋体" w:hAnsi="宋体" w:eastAsia="宋体" w:cs="Times New Roman"/>
          <w:kern w:val="0"/>
          <w:sz w:val="28"/>
          <w:szCs w:val="28"/>
          <w:lang w:val="en-US" w:eastAsia="zh-CN" w:bidi="ar-SA"/>
        </w:rPr>
        <w:t xml:space="preserve">1. </w:t>
      </w:r>
      <w:r>
        <w:rPr>
          <w:rFonts w:hint="eastAsia" w:ascii="宋体" w:hAnsi="宋体" w:cs="宋体"/>
          <w:sz w:val="28"/>
          <w:szCs w:val="28"/>
        </w:rPr>
        <w:t>甲方指定后勤管理处</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）为该项目的现场负责人，负责项目协调管理、价款支付等相关事宜。</w:t>
      </w:r>
    </w:p>
    <w:p>
      <w:pPr>
        <w:spacing w:line="520" w:lineRule="exact"/>
        <w:ind w:firstLine="546" w:firstLineChars="195"/>
        <w:rPr>
          <w:rFonts w:hint="eastAsia"/>
          <w:sz w:val="28"/>
        </w:rPr>
      </w:pPr>
      <w:r>
        <w:rPr>
          <w:rFonts w:hint="eastAsia"/>
          <w:sz w:val="28"/>
        </w:rPr>
        <w:t xml:space="preserve"> 2.</w:t>
      </w:r>
      <w:r>
        <w:rPr>
          <w:rFonts w:hint="eastAsia" w:ascii="宋体" w:hAnsi="宋体" w:cs="宋体"/>
          <w:sz w:val="28"/>
          <w:szCs w:val="28"/>
        </w:rPr>
        <w:t xml:space="preserve"> 乙方指定 </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w:t>
      </w:r>
      <w:r>
        <w:rPr>
          <w:rFonts w:hint="eastAsia"/>
          <w:sz w:val="28"/>
        </w:rPr>
        <w:t>（1）按照国家有关标准规范进行检测，保证检测质量，并对其出具的检测报告负责。（2）根据甲方委托检测内容组织实施现场检测，并为甲方提供优质的服务和技术支持。（3）</w:t>
      </w:r>
      <w:r>
        <w:rPr>
          <w:rFonts w:hint="eastAsia" w:ascii="宋体" w:hAnsi="宋体" w:cs="宋体"/>
          <w:sz w:val="28"/>
          <w:szCs w:val="28"/>
        </w:rPr>
        <w:t>从甲方书面通知进场检测时间开始计算</w:t>
      </w:r>
      <w:r>
        <w:rPr>
          <w:rFonts w:hint="eastAsia"/>
          <w:sz w:val="28"/>
          <w:u w:val="single"/>
        </w:rPr>
        <w:t xml:space="preserve"> 60日历</w:t>
      </w:r>
      <w:r>
        <w:rPr>
          <w:rFonts w:hint="eastAsia"/>
          <w:sz w:val="28"/>
        </w:rPr>
        <w:t>天内提供甲方检测报告一式</w:t>
      </w:r>
      <w:r>
        <w:rPr>
          <w:sz w:val="28"/>
          <w:u w:val="single"/>
        </w:rPr>
        <w:t xml:space="preserve"> </w:t>
      </w:r>
      <w:r>
        <w:rPr>
          <w:rFonts w:hint="eastAsia"/>
          <w:sz w:val="28"/>
          <w:u w:val="single"/>
        </w:rPr>
        <w:t xml:space="preserve"> 捌 </w:t>
      </w:r>
      <w:r>
        <w:rPr>
          <w:sz w:val="28"/>
          <w:u w:val="single"/>
        </w:rPr>
        <w:t xml:space="preserve"> </w:t>
      </w:r>
      <w:r>
        <w:rPr>
          <w:rFonts w:hint="eastAsia"/>
          <w:sz w:val="28"/>
        </w:rPr>
        <w:t>份。（4）对检测现场检测人员及破损性试验按原样恢复的施工人员人身安全负责。</w:t>
      </w:r>
    </w:p>
    <w:p>
      <w:pPr>
        <w:spacing w:line="360" w:lineRule="auto"/>
        <w:rPr>
          <w:rFonts w:ascii="宋体" w:hAnsi="宋体" w:cs="宋体"/>
          <w:b/>
          <w:sz w:val="28"/>
          <w:szCs w:val="28"/>
        </w:rPr>
      </w:pPr>
      <w:r>
        <w:rPr>
          <w:rFonts w:hint="eastAsia" w:ascii="宋体" w:hAnsi="宋体" w:cs="宋体"/>
          <w:b/>
          <w:sz w:val="28"/>
          <w:szCs w:val="28"/>
        </w:rPr>
        <w:t>六、其他</w:t>
      </w:r>
    </w:p>
    <w:p>
      <w:pPr>
        <w:spacing w:line="360" w:lineRule="auto"/>
        <w:ind w:firstLine="560" w:firstLineChars="200"/>
        <w:rPr>
          <w:rFonts w:ascii="宋体" w:hAnsi="宋体" w:cs="宋体"/>
          <w:sz w:val="28"/>
          <w:szCs w:val="28"/>
        </w:rPr>
      </w:pPr>
      <w:r>
        <w:rPr>
          <w:rFonts w:hint="eastAsia" w:ascii="宋体" w:hAnsi="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cs="宋体"/>
          <w:sz w:val="28"/>
          <w:szCs w:val="28"/>
        </w:rPr>
      </w:pPr>
      <w:r>
        <w:rPr>
          <w:rFonts w:hint="eastAsia" w:ascii="宋体" w:hAnsi="宋体" w:cs="宋体"/>
          <w:sz w:val="28"/>
          <w:szCs w:val="28"/>
        </w:rPr>
        <w:t>2.本合同未尽事宜，遵照合同、建筑等法律法规有关条文执行。</w:t>
      </w:r>
    </w:p>
    <w:p>
      <w:pPr>
        <w:spacing w:line="360" w:lineRule="auto"/>
        <w:ind w:firstLine="560" w:firstLineChars="200"/>
        <w:rPr>
          <w:rFonts w:ascii="宋体" w:hAnsi="宋体" w:cs="宋体"/>
          <w:sz w:val="28"/>
          <w:szCs w:val="28"/>
        </w:rPr>
      </w:pPr>
      <w:r>
        <w:rPr>
          <w:rFonts w:hint="eastAsia" w:ascii="宋体" w:hAnsi="宋体" w:cs="宋体"/>
          <w:sz w:val="28"/>
          <w:szCs w:val="28"/>
        </w:rPr>
        <w:t>3.本协议壹式</w:t>
      </w:r>
      <w:r>
        <w:rPr>
          <w:rFonts w:hint="eastAsia" w:ascii="宋体" w:hAnsi="宋体" w:cs="宋体"/>
          <w:sz w:val="28"/>
          <w:szCs w:val="28"/>
          <w:u w:val="single"/>
        </w:rPr>
        <w:t xml:space="preserve">    </w:t>
      </w:r>
      <w:r>
        <w:rPr>
          <w:rFonts w:hint="eastAsia" w:ascii="宋体" w:hAnsi="宋体" w:cs="宋体"/>
          <w:sz w:val="28"/>
          <w:szCs w:val="28"/>
        </w:rPr>
        <w:t>份，均具有同等法律效力，甲方执</w:t>
      </w:r>
      <w:r>
        <w:rPr>
          <w:rFonts w:hint="eastAsia" w:ascii="宋体" w:hAnsi="宋体" w:cs="宋体"/>
          <w:sz w:val="28"/>
          <w:szCs w:val="28"/>
          <w:u w:val="single"/>
        </w:rPr>
        <w:t xml:space="preserve">    </w:t>
      </w:r>
      <w:r>
        <w:rPr>
          <w:rFonts w:hint="eastAsia" w:ascii="宋体" w:hAnsi="宋体" w:cs="宋体"/>
          <w:sz w:val="28"/>
          <w:szCs w:val="28"/>
        </w:rPr>
        <w:t>份，乙方执</w:t>
      </w:r>
      <w:r>
        <w:rPr>
          <w:rFonts w:hint="eastAsia" w:ascii="宋体" w:hAnsi="宋体" w:cs="宋体"/>
          <w:sz w:val="28"/>
          <w:szCs w:val="28"/>
          <w:u w:val="single"/>
        </w:rPr>
        <w:t xml:space="preserve">    </w:t>
      </w:r>
      <w:r>
        <w:rPr>
          <w:rFonts w:hint="eastAsia" w:ascii="宋体" w:hAnsi="宋体" w:cs="宋体"/>
          <w:sz w:val="28"/>
          <w:szCs w:val="28"/>
        </w:rPr>
        <w:t>份，甲、乙双方法定代表人或其委托代理人签字盖章后生效。</w:t>
      </w:r>
    </w:p>
    <w:p>
      <w:pPr>
        <w:spacing w:line="360" w:lineRule="auto"/>
        <w:ind w:firstLine="551" w:firstLineChars="196"/>
        <w:rPr>
          <w:rFonts w:ascii="宋体" w:hAnsi="宋体" w:cs="宋体"/>
          <w:b/>
          <w:sz w:val="28"/>
          <w:szCs w:val="28"/>
        </w:rPr>
      </w:pPr>
      <w:r>
        <w:rPr>
          <w:rFonts w:hint="eastAsia" w:ascii="宋体" w:hAnsi="宋体" w:cs="宋体"/>
          <w:b/>
          <w:sz w:val="28"/>
          <w:szCs w:val="28"/>
        </w:rPr>
        <w:t>十、合同订立</w:t>
      </w:r>
    </w:p>
    <w:p>
      <w:pPr>
        <w:spacing w:line="360" w:lineRule="auto"/>
        <w:ind w:firstLine="560" w:firstLineChars="200"/>
        <w:rPr>
          <w:rFonts w:ascii="宋体" w:hAnsi="宋体" w:cs="宋体"/>
          <w:sz w:val="28"/>
          <w:szCs w:val="28"/>
        </w:rPr>
      </w:pPr>
      <w:r>
        <w:rPr>
          <w:rFonts w:hint="eastAsia" w:ascii="宋体" w:hAnsi="宋体" w:cs="宋体"/>
          <w:sz w:val="28"/>
          <w:szCs w:val="28"/>
        </w:rPr>
        <w:t>1.合同订立时间：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ind w:firstLine="560" w:firstLineChars="200"/>
        <w:rPr>
          <w:rFonts w:ascii="宋体" w:hAnsi="宋体" w:cs="宋体"/>
          <w:sz w:val="28"/>
          <w:szCs w:val="28"/>
        </w:rPr>
      </w:pPr>
      <w:r>
        <w:rPr>
          <w:rFonts w:hint="eastAsia" w:ascii="宋体" w:hAnsi="宋体" w:cs="宋体"/>
          <w:sz w:val="28"/>
          <w:szCs w:val="28"/>
        </w:rPr>
        <w:t>2.合同订立地点：皖南医学院滨江校区</w:t>
      </w:r>
    </w:p>
    <w:p>
      <w:pPr>
        <w:spacing w:line="360" w:lineRule="auto"/>
        <w:ind w:firstLine="560" w:firstLineChars="200"/>
        <w:rPr>
          <w:rFonts w:ascii="宋体" w:hAnsi="宋体" w:cs="宋体"/>
          <w:sz w:val="28"/>
          <w:szCs w:val="28"/>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甲方：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乙方：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地址：芜湖市弋江区文昌西路22号</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邮编：241002</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电话：0553-3932598</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w:t>
            </w:r>
            <w:r>
              <w:rPr>
                <w:rFonts w:hint="eastAsia" w:ascii="宋体" w:hAnsi="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开户银行：中国建设银行芜湖市分行中山路支行</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 xml:space="preserve">开户银行： </w:t>
            </w:r>
          </w:p>
        </w:tc>
      </w:tr>
    </w:tbl>
    <w:p>
      <w:pPr>
        <w:rPr>
          <w:rFonts w:hint="eastAsia"/>
        </w:rPr>
      </w:pPr>
    </w:p>
    <w:p>
      <w:pPr>
        <w:pStyle w:val="5"/>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br w:type="page"/>
      </w:r>
      <w:r>
        <w:rPr>
          <w:rFonts w:hint="eastAsia" w:ascii="华文中宋" w:hAnsi="华文中宋" w:eastAsia="华文中宋"/>
          <w:bCs w:val="0"/>
          <w:color w:val="auto"/>
        </w:rPr>
        <w:t xml:space="preserve"> 项目需求</w:t>
      </w:r>
      <w:bookmarkEnd w:id="108"/>
    </w:p>
    <w:p>
      <w:pPr>
        <w:spacing w:line="600" w:lineRule="exact"/>
        <w:ind w:firstLine="840" w:firstLineChars="300"/>
        <w:rPr>
          <w:sz w:val="28"/>
          <w:szCs w:val="28"/>
        </w:rPr>
      </w:pPr>
      <w:r>
        <w:rPr>
          <w:rFonts w:hint="eastAsia"/>
          <w:sz w:val="28"/>
          <w:szCs w:val="28"/>
        </w:rPr>
        <w:t>目前，皖南医学院部分楼宇的钢网架、石材幕墙及钢结构飘蓬构工程已经使用约15年，为了解受检房屋网架、钢构及石材幕墙目前的安全及质量状况，对网架、钢构及幕墙进行安全性排查，为网架、钢构及幕墙的正常使用和维护提供技术依据。</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sz w:val="28"/>
          <w:szCs w:val="28"/>
        </w:rPr>
      </w:pPr>
      <w:r>
        <w:rPr>
          <w:rFonts w:hint="eastAsia"/>
          <w:b/>
          <w:sz w:val="28"/>
          <w:szCs w:val="28"/>
        </w:rPr>
        <w:t>工程地点</w:t>
      </w:r>
      <w:r>
        <w:rPr>
          <w:rFonts w:hint="eastAsia"/>
          <w:sz w:val="28"/>
          <w:szCs w:val="28"/>
        </w:rPr>
        <w:t>：皖南医学院滨江校区和赭麓校区</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受检房屋：</w:t>
      </w:r>
    </w:p>
    <w:p>
      <w:pPr>
        <w:pStyle w:val="32"/>
        <w:spacing w:line="600" w:lineRule="exact"/>
        <w:ind w:left="0" w:leftChars="0" w:firstLine="840" w:firstLineChars="300"/>
        <w:rPr>
          <w:rFonts w:hint="eastAsia"/>
          <w:sz w:val="28"/>
          <w:szCs w:val="28"/>
        </w:rPr>
      </w:pPr>
      <w:r>
        <w:rPr>
          <w:rFonts w:hint="eastAsia"/>
          <w:sz w:val="28"/>
          <w:szCs w:val="28"/>
        </w:rPr>
        <w:t>风雨操场、逸夫科技楼共两幢楼的网架、钢结构的安全检测鉴定；滨江校区北大门（含值班室）、南大门（含值班室）、东大门（含值班室）及赭麓校区主大门（含值班室）等四座大门楼（含值班室）石材幕墙及网架安全检测鉴定。</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工期：</w:t>
      </w:r>
    </w:p>
    <w:p>
      <w:pPr>
        <w:pStyle w:val="16"/>
        <w:spacing w:line="600" w:lineRule="exact"/>
        <w:ind w:firstLine="560" w:firstLineChars="200"/>
        <w:rPr>
          <w:rFonts w:ascii="Calibri" w:hAnsi="Calibri" w:eastAsia="宋体" w:cs="Times New Roman"/>
          <w:color w:val="000000"/>
          <w:sz w:val="28"/>
          <w:szCs w:val="28"/>
        </w:rPr>
      </w:pPr>
      <w:r>
        <w:rPr>
          <w:rFonts w:hint="eastAsia" w:ascii="Calibri" w:hAnsi="Calibri" w:eastAsia="宋体" w:cs="Times New Roman"/>
          <w:sz w:val="28"/>
          <w:szCs w:val="28"/>
        </w:rPr>
        <w:t>中标人需在合同签订后</w:t>
      </w:r>
      <w:r>
        <w:rPr>
          <w:rFonts w:hint="eastAsia" w:ascii="Calibri" w:hAnsi="Calibri" w:eastAsia="宋体" w:cs="Times New Roman"/>
          <w:color w:val="000000"/>
          <w:sz w:val="28"/>
          <w:szCs w:val="28"/>
        </w:rPr>
        <w:t>60</w:t>
      </w:r>
      <w:r>
        <w:rPr>
          <w:rFonts w:hint="eastAsia" w:ascii="Calibri" w:hAnsi="Calibri" w:eastAsia="宋体" w:cs="Times New Roman"/>
          <w:sz w:val="28"/>
          <w:szCs w:val="28"/>
        </w:rPr>
        <w:t>个日历天内完成检测鉴定工作并提交正式报告，</w:t>
      </w:r>
      <w:r>
        <w:rPr>
          <w:rFonts w:hint="eastAsia" w:ascii="Calibri" w:hAnsi="Calibri" w:eastAsia="宋体" w:cs="Times New Roman"/>
          <w:color w:val="000000"/>
          <w:sz w:val="28"/>
          <w:szCs w:val="28"/>
        </w:rPr>
        <w:t>同时所有局部破损性试验部位需按原样恢复，如后期发现疑问，中标单位应及时安排人员现场解释或复检；</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报价：</w:t>
      </w:r>
    </w:p>
    <w:p>
      <w:pPr>
        <w:pStyle w:val="46"/>
        <w:spacing w:line="600" w:lineRule="exact"/>
        <w:rPr>
          <w:rFonts w:ascii="Calibri" w:hAnsi="Calibri" w:eastAsia="宋体" w:cs="Times New Roman"/>
          <w:bCs/>
          <w:color w:val="000000"/>
          <w:sz w:val="28"/>
          <w:szCs w:val="28"/>
        </w:rPr>
      </w:pPr>
      <w:r>
        <w:rPr>
          <w:rFonts w:hint="eastAsia" w:ascii="Calibri" w:hAnsi="Calibri" w:eastAsia="宋体" w:cs="Times New Roman"/>
          <w:bCs/>
          <w:color w:val="000000"/>
          <w:sz w:val="28"/>
          <w:szCs w:val="28"/>
        </w:rPr>
        <w:t xml:space="preserve">    1）、本项目属固定总价合同，除招标人认可并批准的变更外；</w:t>
      </w:r>
    </w:p>
    <w:p>
      <w:pPr>
        <w:pStyle w:val="46"/>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2）、受检房屋部分钢构及幕墙图纸不全，因此，投标人需勘察现场，合理报价；</w:t>
      </w:r>
    </w:p>
    <w:p>
      <w:pPr>
        <w:spacing w:line="600" w:lineRule="exact"/>
        <w:ind w:firstLine="560" w:firstLineChars="200"/>
        <w:rPr>
          <w:rFonts w:ascii="宋体" w:hAnsi="宋体" w:eastAsia="宋体" w:cs="宋体"/>
          <w:color w:val="000000"/>
          <w:sz w:val="28"/>
          <w:szCs w:val="28"/>
        </w:rPr>
      </w:pPr>
      <w:r>
        <w:rPr>
          <w:rFonts w:hint="eastAsia"/>
          <w:color w:val="000000"/>
          <w:sz w:val="28"/>
          <w:szCs w:val="28"/>
        </w:rPr>
        <w:t>3）、中标单位自行考虑住宿等临时设施，包含在报价中；</w:t>
      </w:r>
    </w:p>
    <w:p>
      <w:pPr>
        <w:pStyle w:val="46"/>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4）、检测所需的仪器、临时电缆、脚手架、登高车、吊车、焊接工具、拆卸工具、挖掘机、局部破损性试验按原样恢复所需要的相关材料等一切费用，投标单位自行考虑，包含在报价中，该费用包定，不做调整。</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付款方式：</w:t>
      </w:r>
    </w:p>
    <w:p>
      <w:pPr>
        <w:spacing w:line="600" w:lineRule="exact"/>
        <w:jc w:val="both"/>
        <w:rPr>
          <w:color w:val="000000"/>
          <w:sz w:val="28"/>
          <w:szCs w:val="28"/>
        </w:rPr>
      </w:pPr>
      <w:r>
        <w:rPr>
          <w:rFonts w:hint="eastAsia" w:ascii="宋体" w:hAnsi="宋体" w:eastAsia="宋体" w:cs="宋体"/>
          <w:color w:val="000000"/>
          <w:sz w:val="28"/>
          <w:szCs w:val="28"/>
        </w:rPr>
        <w:t xml:space="preserve">     工程</w:t>
      </w:r>
      <w:r>
        <w:rPr>
          <w:rFonts w:hint="eastAsia" w:eastAsia="宋体" w:cs="Times New Roman"/>
          <w:color w:val="000000"/>
          <w:sz w:val="28"/>
          <w:szCs w:val="28"/>
        </w:rPr>
        <w:t>在工期</w:t>
      </w:r>
      <w:r>
        <w:rPr>
          <w:rFonts w:hint="eastAsia" w:eastAsia="宋体" w:cs="Times New Roman"/>
          <w:color w:val="000000"/>
          <w:sz w:val="28"/>
          <w:szCs w:val="28"/>
          <w:lang w:val="en-US" w:eastAsia="zh-CN"/>
        </w:rPr>
        <w:t>内（</w:t>
      </w:r>
      <w:r>
        <w:rPr>
          <w:rFonts w:hint="eastAsia" w:eastAsia="宋体" w:cs="Times New Roman"/>
          <w:color w:val="000000"/>
          <w:sz w:val="28"/>
          <w:szCs w:val="28"/>
        </w:rPr>
        <w:t>含局部破损性试验按原样恢复所需要的时间）提交合格的安全检测鉴定报</w:t>
      </w:r>
      <w:r>
        <w:rPr>
          <w:rFonts w:hint="eastAsia"/>
          <w:color w:val="000000"/>
          <w:sz w:val="28"/>
          <w:szCs w:val="28"/>
        </w:rPr>
        <w:t>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rFonts w:hint="eastAsia"/>
          <w:color w:val="000000"/>
          <w:sz w:val="28"/>
          <w:szCs w:val="28"/>
          <w:lang w:eastAsia="zh-CN"/>
        </w:rPr>
        <w:t>，</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安全文明施工：</w:t>
      </w:r>
    </w:p>
    <w:p>
      <w:pPr>
        <w:pStyle w:val="46"/>
        <w:spacing w:line="600" w:lineRule="exact"/>
        <w:ind w:firstLine="700" w:firstLineChars="250"/>
        <w:jc w:val="both"/>
        <w:rPr>
          <w:kern w:val="2"/>
          <w:sz w:val="28"/>
          <w:szCs w:val="28"/>
        </w:rPr>
      </w:pPr>
      <w:r>
        <w:rPr>
          <w:rFonts w:hint="eastAsia" w:ascii="Calibri" w:hAnsi="Calibri" w:eastAsia="宋体" w:cs="Times New Roman"/>
          <w:kern w:val="2"/>
          <w:sz w:val="28"/>
          <w:szCs w:val="28"/>
        </w:rPr>
        <w:t>本项目大部分作业面为高空作业，中标人应制定安全作业细则并在现场检测时严格执行，否则承担由此带来的一切安全后果：</w:t>
      </w:r>
    </w:p>
    <w:p>
      <w:pPr>
        <w:pStyle w:val="32"/>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检测人员进入现场要戴安全帽、高空操作时必须系好安全带</w:t>
      </w:r>
      <w:r>
        <w:rPr>
          <w:rFonts w:hint="eastAsia" w:ascii="宋体" w:hAnsi="宋体"/>
          <w:sz w:val="28"/>
          <w:szCs w:val="28"/>
        </w:rPr>
        <w:t>且</w:t>
      </w:r>
      <w:r>
        <w:rPr>
          <w:rFonts w:hint="eastAsia" w:ascii="宋体" w:hAnsi="宋体" w:eastAsia="宋体" w:cs="Times New Roman"/>
          <w:sz w:val="28"/>
          <w:szCs w:val="28"/>
        </w:rPr>
        <w:t>高空作业人员须持证上岗；</w:t>
      </w:r>
    </w:p>
    <w:p>
      <w:pPr>
        <w:pStyle w:val="32"/>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现场接电时，要由持证专业人员操作；</w:t>
      </w:r>
    </w:p>
    <w:p>
      <w:pPr>
        <w:pStyle w:val="32"/>
        <w:numPr>
          <w:ilvl w:val="0"/>
          <w:numId w:val="0"/>
        </w:numPr>
        <w:spacing w:line="600" w:lineRule="exact"/>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检测产生的混凝土碎屑等垃圾应打包归堆并清理出校园至芜湖市市容局指定地点；</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挂靠、转包的行为的处理：</w:t>
      </w:r>
    </w:p>
    <w:p>
      <w:pPr>
        <w:pStyle w:val="46"/>
        <w:spacing w:line="600" w:lineRule="exact"/>
        <w:ind w:firstLine="420" w:firstLineChars="150"/>
        <w:rPr>
          <w:rFonts w:ascii="Calibri" w:hAnsi="Calibri" w:eastAsia="宋体" w:cs="Times New Roman"/>
          <w:kern w:val="2"/>
          <w:sz w:val="28"/>
          <w:szCs w:val="28"/>
        </w:rPr>
      </w:pPr>
      <w:r>
        <w:rPr>
          <w:rFonts w:hint="eastAsia" w:ascii="Calibri" w:hAnsi="Calibri" w:eastAsia="宋体" w:cs="Times New Roman"/>
          <w:kern w:val="2"/>
          <w:sz w:val="28"/>
          <w:szCs w:val="28"/>
        </w:rPr>
        <w:t>中标人必须根据规范开展检测鉴定工作，确保试验数据的客观、公正、科学。中标人所完成的工作内容必须达到国家相关法规对环境保护的要求。严禁投标人有挂靠、转包的行为，一旦发现即终止合同，并报建设行政主管部门进行相应处罚；</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工程内容：</w:t>
      </w:r>
    </w:p>
    <w:p>
      <w:pPr>
        <w:pStyle w:val="32"/>
        <w:numPr>
          <w:ilvl w:val="0"/>
          <w:numId w:val="0"/>
        </w:numPr>
        <w:spacing w:line="600" w:lineRule="exact"/>
        <w:ind w:firstLine="560" w:firstLineChars="200"/>
        <w:rPr>
          <w:sz w:val="28"/>
          <w:szCs w:val="28"/>
        </w:rPr>
      </w:pPr>
      <w:r>
        <w:rPr>
          <w:rFonts w:hint="eastAsia"/>
          <w:sz w:val="28"/>
          <w:szCs w:val="28"/>
          <w:lang w:val="en-US" w:eastAsia="zh-CN"/>
        </w:rPr>
        <w:t>1.</w:t>
      </w:r>
      <w:r>
        <w:rPr>
          <w:rFonts w:hint="eastAsia"/>
          <w:sz w:val="28"/>
          <w:szCs w:val="28"/>
        </w:rPr>
        <w:t>既有石材幕墙安全性鉴定内容执行【既有建筑幕墙安全性鉴定技术规程DB34T3752-2020】的要求，应包括且不限于以下内容：</w:t>
      </w:r>
    </w:p>
    <w:p>
      <w:pPr>
        <w:pStyle w:val="32"/>
        <w:spacing w:line="600" w:lineRule="exact"/>
        <w:ind w:left="0" w:leftChars="0" w:firstLine="560" w:firstLineChars="200"/>
        <w:rPr>
          <w:rFonts w:hint="eastAsia" w:eastAsia="宋体"/>
          <w:sz w:val="28"/>
          <w:szCs w:val="28"/>
          <w:lang w:eastAsia="zh-CN"/>
        </w:rPr>
      </w:pPr>
      <w:r>
        <w:rPr>
          <w:rFonts w:hint="eastAsia"/>
          <w:sz w:val="28"/>
          <w:szCs w:val="28"/>
        </w:rPr>
        <w:t>（1）既有石材幕墙基本情况调查及幕墙现状检查</w:t>
      </w:r>
      <w:r>
        <w:rPr>
          <w:rFonts w:hint="eastAsia"/>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（2）幕墙钢结构框架检测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（3）幕墙密封材料检测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（4）石材面板检测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（5）对幕墙的造型、立面分格、颜色、幕墙面板的规格、厚度等是否符合设计要求进行核查，并对幕墙面板表面存在有爆裂、凹坑、缺角、裂缝、斑痕以及渗漏等质量缺陷进行普查、记录</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rPr>
      </w:pPr>
      <w:r>
        <w:rPr>
          <w:rFonts w:hint="eastAsia" w:eastAsia="宋体" w:cs="Times New Roman"/>
          <w:sz w:val="28"/>
          <w:szCs w:val="28"/>
        </w:rPr>
        <w:t>（6）安全性评价及处理建议：根据国家规范、现行规定和现场检查、检测结果，对幕墙受损现状及安全性进行鉴定，出具正式的检测报告，并提出维修处理建议。</w:t>
      </w:r>
    </w:p>
    <w:p>
      <w:pPr>
        <w:spacing w:line="6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既有钢结构（含大跨度网架）安全性鉴定内容执行【GBT50344-2019建筑结构检测技术标准】的要求，应包括且不限于以下内容：</w:t>
      </w:r>
    </w:p>
    <w:p>
      <w:pPr>
        <w:spacing w:line="600" w:lineRule="exact"/>
        <w:ind w:firstLine="560" w:firstLineChars="200"/>
        <w:rPr>
          <w:rFonts w:hint="eastAsia" w:eastAsia="宋体"/>
          <w:sz w:val="28"/>
          <w:szCs w:val="28"/>
          <w:lang w:eastAsia="zh-CN"/>
        </w:rPr>
      </w:pPr>
      <w:r>
        <w:rPr>
          <w:rFonts w:hint="eastAsia"/>
          <w:sz w:val="28"/>
          <w:szCs w:val="28"/>
        </w:rPr>
        <w:t>（1）既有钢结构基本情况调查及钢结构现状检查</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（2）结构布置和构造</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（3）焊缝质量</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（4）网架挠度变形</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（5）网架杆件及连接件外观质量缺陷</w:t>
      </w:r>
      <w:r>
        <w:rPr>
          <w:rFonts w:hint="eastAsia"/>
          <w:sz w:val="28"/>
          <w:szCs w:val="28"/>
          <w:lang w:eastAsia="zh-CN"/>
        </w:rPr>
        <w:t>；</w:t>
      </w:r>
    </w:p>
    <w:p>
      <w:pPr>
        <w:pStyle w:val="3"/>
        <w:spacing w:line="600" w:lineRule="exact"/>
        <w:ind w:firstLine="560" w:firstLineChars="200"/>
        <w:rPr>
          <w:rFonts w:hint="eastAsia" w:ascii="Calibri" w:hAnsi="Calibri" w:eastAsia="宋体" w:cs="Times New Roman"/>
          <w:color w:val="auto"/>
          <w:kern w:val="2"/>
          <w:sz w:val="28"/>
          <w:szCs w:val="28"/>
          <w:lang w:eastAsia="zh-CN"/>
        </w:rPr>
      </w:pPr>
      <w:r>
        <w:rPr>
          <w:rFonts w:hint="eastAsia" w:ascii="Calibri" w:hAnsi="Calibri" w:eastAsia="宋体" w:cs="Times New Roman"/>
          <w:color w:val="auto"/>
          <w:kern w:val="2"/>
          <w:sz w:val="28"/>
          <w:szCs w:val="28"/>
        </w:rPr>
        <w:t>（6）结构验算：根据实测结果结合设计图纸对网架目前状况做出科学的计算评判，进行承载力验算，评估网架的安全性</w:t>
      </w:r>
      <w:r>
        <w:rPr>
          <w:rFonts w:hint="eastAsia" w:ascii="Calibri" w:hAnsi="Calibri" w:cs="Times New Roman"/>
          <w:color w:val="auto"/>
          <w:kern w:val="2"/>
          <w:sz w:val="28"/>
          <w:szCs w:val="28"/>
          <w:lang w:eastAsia="zh-CN"/>
        </w:rPr>
        <w:t>；</w:t>
      </w:r>
    </w:p>
    <w:p>
      <w:pPr>
        <w:adjustRightInd w:val="0"/>
        <w:snapToGrid w:val="0"/>
        <w:spacing w:line="600" w:lineRule="exact"/>
        <w:ind w:firstLine="480" w:firstLineChars="200"/>
        <w:jc w:val="left"/>
        <w:rPr>
          <w:sz w:val="28"/>
          <w:szCs w:val="28"/>
        </w:rPr>
      </w:pPr>
      <w:r>
        <w:rPr>
          <w:rFonts w:hint="eastAsia" w:ascii="Times New Roman" w:hAnsi="Times New Roman" w:cs="Times New Roman"/>
          <w:sz w:val="24"/>
          <w:szCs w:val="24"/>
        </w:rPr>
        <w:t>（</w:t>
      </w:r>
      <w:r>
        <w:rPr>
          <w:rFonts w:hint="eastAsia"/>
          <w:sz w:val="28"/>
          <w:szCs w:val="28"/>
        </w:rPr>
        <w:t>7）安全性评价及处理建议：根据国家规范、现行规定和现场检查、检测结果，对网架结构受损现状及安全性进行鉴定，出具正式的检测报告，并提出维修处理建议。</w:t>
      </w:r>
    </w:p>
    <w:p>
      <w:pPr>
        <w:pStyle w:val="4"/>
        <w:ind w:left="0" w:leftChars="0" w:firstLine="0" w:firstLineChars="0"/>
        <w:rPr>
          <w:rFonts w:hint="eastAsia" w:ascii="Times New Roman" w:hAnsi="Times New Roman" w:eastAsia="宋体" w:cs="Times New Roman"/>
          <w:b/>
          <w:kern w:val="0"/>
          <w:sz w:val="28"/>
          <w:szCs w:val="28"/>
          <w:lang w:val="en-US" w:eastAsia="zh-CN" w:bidi="ar-SA"/>
        </w:rPr>
      </w:pPr>
      <w:r>
        <w:rPr>
          <w:rFonts w:hint="eastAsia" w:eastAsia="宋体" w:cs="Times New Roman"/>
          <w:b/>
          <w:kern w:val="0"/>
          <w:sz w:val="28"/>
          <w:szCs w:val="28"/>
          <w:lang w:val="en-US" w:eastAsia="zh-CN" w:bidi="ar-SA"/>
        </w:rPr>
        <w:t>九</w:t>
      </w:r>
      <w:r>
        <w:rPr>
          <w:rFonts w:hint="eastAsia" w:ascii="Times New Roman" w:hAnsi="Times New Roman" w:eastAsia="宋体" w:cs="Times New Roman"/>
          <w:b/>
          <w:kern w:val="0"/>
          <w:sz w:val="28"/>
          <w:szCs w:val="28"/>
          <w:lang w:val="en-US" w:eastAsia="zh-CN" w:bidi="ar-SA"/>
        </w:rPr>
        <w:t>、现场检测数量：</w:t>
      </w:r>
    </w:p>
    <w:p>
      <w:pPr>
        <w:pStyle w:val="32"/>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钢结构：</w:t>
      </w:r>
      <w:r>
        <w:rPr>
          <w:sz w:val="28"/>
          <w:szCs w:val="28"/>
        </w:rPr>
        <w:t>检测数量不低于GB/T50344-2019标准</w:t>
      </w:r>
      <w:r>
        <w:rPr>
          <w:rFonts w:hint="eastAsia"/>
          <w:sz w:val="28"/>
          <w:szCs w:val="28"/>
        </w:rPr>
        <w:t>的</w:t>
      </w:r>
      <w:r>
        <w:rPr>
          <w:sz w:val="28"/>
          <w:szCs w:val="28"/>
        </w:rPr>
        <w:t>相关要求</w:t>
      </w:r>
      <w:r>
        <w:rPr>
          <w:rFonts w:hint="eastAsia"/>
          <w:sz w:val="28"/>
          <w:szCs w:val="28"/>
          <w:lang w:eastAsia="zh-CN"/>
        </w:rPr>
        <w:t>。</w:t>
      </w:r>
    </w:p>
    <w:p>
      <w:pPr>
        <w:pStyle w:val="32"/>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石材幕墙：</w:t>
      </w:r>
      <w:r>
        <w:rPr>
          <w:sz w:val="28"/>
          <w:szCs w:val="28"/>
        </w:rPr>
        <w:t>检测数量不低于</w:t>
      </w:r>
      <w:r>
        <w:rPr>
          <w:rFonts w:hint="eastAsia"/>
          <w:sz w:val="28"/>
          <w:szCs w:val="28"/>
        </w:rPr>
        <w:t>【既有建筑幕墙安全性鉴定技术规程DB34T3752-2020】标准的相关要求</w:t>
      </w:r>
      <w:r>
        <w:rPr>
          <w:rFonts w:hint="eastAsia"/>
          <w:sz w:val="28"/>
          <w:szCs w:val="28"/>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Chars="0"/>
        <w:textAlignment w:val="auto"/>
        <w:rPr>
          <w:rFonts w:hint="eastAsia" w:eastAsia="宋体" w:cs="Times New Roman"/>
          <w:b/>
          <w:sz w:val="28"/>
          <w:szCs w:val="28"/>
        </w:rPr>
      </w:pPr>
      <w:r>
        <w:rPr>
          <w:rFonts w:hint="eastAsia" w:eastAsia="宋体" w:cs="Times New Roman"/>
          <w:b/>
          <w:sz w:val="28"/>
          <w:szCs w:val="28"/>
          <w:lang w:val="en-US" w:eastAsia="zh-CN"/>
        </w:rPr>
        <w:t>十、</w:t>
      </w:r>
      <w:r>
        <w:rPr>
          <w:rFonts w:hint="eastAsia" w:eastAsia="宋体" w:cs="Times New Roman"/>
          <w:b/>
          <w:sz w:val="28"/>
          <w:szCs w:val="28"/>
        </w:rPr>
        <w:t>工程量清单（既有石材幕墙安全检测鉴定）</w:t>
      </w:r>
    </w:p>
    <w:tbl>
      <w:tblPr>
        <w:tblStyle w:val="28"/>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08"/>
        <w:gridCol w:w="3105"/>
        <w:gridCol w:w="1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noWrap w:val="0"/>
            <w:vAlign w:val="top"/>
          </w:tcPr>
          <w:p>
            <w:pPr>
              <w:rPr>
                <w:sz w:val="28"/>
                <w:szCs w:val="28"/>
              </w:rPr>
            </w:pPr>
            <w:r>
              <w:rPr>
                <w:rFonts w:hint="eastAsia"/>
                <w:sz w:val="28"/>
                <w:szCs w:val="28"/>
              </w:rPr>
              <w:t>序号</w:t>
            </w:r>
          </w:p>
        </w:tc>
        <w:tc>
          <w:tcPr>
            <w:tcW w:w="2108" w:type="dxa"/>
            <w:noWrap w:val="0"/>
            <w:vAlign w:val="top"/>
          </w:tcPr>
          <w:p>
            <w:pPr>
              <w:rPr>
                <w:sz w:val="28"/>
                <w:szCs w:val="28"/>
              </w:rPr>
            </w:pPr>
            <w:r>
              <w:rPr>
                <w:rFonts w:hint="eastAsia"/>
                <w:sz w:val="28"/>
                <w:szCs w:val="28"/>
              </w:rPr>
              <w:t>项目名称</w:t>
            </w:r>
          </w:p>
        </w:tc>
        <w:tc>
          <w:tcPr>
            <w:tcW w:w="3105" w:type="dxa"/>
            <w:noWrap w:val="0"/>
            <w:vAlign w:val="top"/>
          </w:tcPr>
          <w:p>
            <w:pPr>
              <w:ind w:firstLine="700" w:firstLineChars="250"/>
              <w:rPr>
                <w:sz w:val="28"/>
                <w:szCs w:val="28"/>
              </w:rPr>
            </w:pPr>
            <w:r>
              <w:rPr>
                <w:rFonts w:hint="eastAsia"/>
                <w:sz w:val="28"/>
                <w:szCs w:val="28"/>
              </w:rPr>
              <w:t>项目图片</w:t>
            </w:r>
          </w:p>
        </w:tc>
        <w:tc>
          <w:tcPr>
            <w:tcW w:w="1635" w:type="dxa"/>
            <w:noWrap w:val="0"/>
            <w:vAlign w:val="top"/>
          </w:tcPr>
          <w:p>
            <w:pPr>
              <w:rPr>
                <w:sz w:val="28"/>
                <w:szCs w:val="28"/>
              </w:rPr>
            </w:pPr>
            <w:r>
              <w:rPr>
                <w:rFonts w:hint="eastAsia"/>
                <w:sz w:val="28"/>
                <w:szCs w:val="28"/>
              </w:rPr>
              <w:t>检测内容</w:t>
            </w:r>
          </w:p>
        </w:tc>
        <w:tc>
          <w:tcPr>
            <w:tcW w:w="2250" w:type="dxa"/>
            <w:noWrap w:val="0"/>
            <w:vAlign w:val="top"/>
          </w:tcPr>
          <w:p>
            <w:pPr>
              <w:rPr>
                <w:sz w:val="28"/>
                <w:szCs w:val="28"/>
              </w:rPr>
            </w:pPr>
            <w:r>
              <w:rPr>
                <w:rFonts w:hint="eastAsia"/>
                <w:sz w:val="28"/>
                <w:szCs w:val="28"/>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571" w:type="dxa"/>
            <w:noWrap w:val="0"/>
            <w:vAlign w:val="top"/>
          </w:tcPr>
          <w:p>
            <w:pPr>
              <w:rPr>
                <w:sz w:val="28"/>
                <w:szCs w:val="28"/>
              </w:rPr>
            </w:pPr>
            <w:r>
              <w:rPr>
                <w:rFonts w:hint="eastAsia"/>
                <w:sz w:val="28"/>
                <w:szCs w:val="28"/>
              </w:rPr>
              <w:t>1</w:t>
            </w:r>
          </w:p>
        </w:tc>
        <w:tc>
          <w:tcPr>
            <w:tcW w:w="2108" w:type="dxa"/>
            <w:noWrap w:val="0"/>
            <w:vAlign w:val="top"/>
          </w:tcPr>
          <w:p>
            <w:pPr>
              <w:rPr>
                <w:sz w:val="24"/>
                <w:szCs w:val="24"/>
              </w:rPr>
            </w:pPr>
            <w:r>
              <w:rPr>
                <w:rFonts w:hint="eastAsia"/>
                <w:sz w:val="24"/>
                <w:szCs w:val="24"/>
              </w:rPr>
              <w:t>滨江校区南大门（含值班室）外墙石材幕墙</w:t>
            </w:r>
          </w:p>
        </w:tc>
        <w:tc>
          <w:tcPr>
            <w:tcW w:w="3105" w:type="dxa"/>
            <w:noWrap w:val="0"/>
            <w:vAlign w:val="top"/>
          </w:tcPr>
          <w:p>
            <w:pPr>
              <w:rPr>
                <w:sz w:val="28"/>
                <w:szCs w:val="28"/>
              </w:rPr>
            </w:pPr>
            <w:r>
              <w:rPr>
                <w:sz w:val="28"/>
                <w:szCs w:val="28"/>
              </w:rPr>
              <w:drawing>
                <wp:inline distT="0" distB="0" distL="114300" distR="114300">
                  <wp:extent cx="1918335" cy="1439545"/>
                  <wp:effectExtent l="0" t="0" r="5715" b="8255"/>
                  <wp:docPr id="7"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629443459617.jpg"/>
                          <pic:cNvPicPr>
                            <a:picLocks noChangeAspect="1"/>
                          </pic:cNvPicPr>
                        </pic:nvPicPr>
                        <pic:blipFill>
                          <a:blip r:embed="rId6"/>
                          <a:stretch>
                            <a:fillRect/>
                          </a:stretch>
                        </pic:blipFill>
                        <pic:spPr>
                          <a:xfrm>
                            <a:off x="0" y="0"/>
                            <a:ext cx="1918335" cy="1439545"/>
                          </a:xfrm>
                          <a:prstGeom prst="rect">
                            <a:avLst/>
                          </a:prstGeom>
                          <a:noFill/>
                          <a:ln>
                            <a:noFill/>
                          </a:ln>
                        </pic:spPr>
                      </pic:pic>
                    </a:graphicData>
                  </a:graphic>
                </wp:inline>
              </w:drawing>
            </w:r>
          </w:p>
        </w:tc>
        <w:tc>
          <w:tcPr>
            <w:tcW w:w="1635" w:type="dxa"/>
            <w:vMerge w:val="restart"/>
            <w:noWrap w:val="0"/>
            <w:vAlign w:val="top"/>
          </w:tcPr>
          <w:p>
            <w:pPr>
              <w:pStyle w:val="16"/>
              <w:spacing w:line="360" w:lineRule="auto"/>
            </w:pPr>
            <w:r>
              <w:rPr>
                <w:rFonts w:hint="eastAsia"/>
              </w:rPr>
              <w:t>详见</w:t>
            </w:r>
            <w:r>
              <w:rPr>
                <w:rFonts w:hint="eastAsia"/>
                <w:lang w:val="en-US" w:eastAsia="zh-CN"/>
              </w:rPr>
              <w:t>第八项</w:t>
            </w:r>
            <w:r>
              <w:rPr>
                <w:rFonts w:hint="eastAsia"/>
              </w:rPr>
              <w:t>工程内容</w:t>
            </w:r>
          </w:p>
        </w:tc>
        <w:tc>
          <w:tcPr>
            <w:tcW w:w="2250" w:type="dxa"/>
            <w:vMerge w:val="restart"/>
            <w:noWrap w:val="0"/>
            <w:vAlign w:val="top"/>
          </w:tcPr>
          <w:p>
            <w:pPr>
              <w:rPr>
                <w:sz w:val="24"/>
                <w:szCs w:val="24"/>
              </w:rPr>
            </w:pPr>
            <w:r>
              <w:rPr>
                <w:sz w:val="24"/>
                <w:szCs w:val="24"/>
              </w:rPr>
              <w:t>检测数量不低于</w:t>
            </w:r>
            <w:r>
              <w:rPr>
                <w:rFonts w:hint="eastAsia"/>
                <w:sz w:val="24"/>
                <w:szCs w:val="24"/>
              </w:rPr>
              <w:t>【既有建筑幕墙安全性鉴定技术规程DB34T3752-2020】标准的相关要求</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571" w:type="dxa"/>
            <w:noWrap w:val="0"/>
            <w:vAlign w:val="top"/>
          </w:tcPr>
          <w:p>
            <w:pPr>
              <w:rPr>
                <w:sz w:val="28"/>
                <w:szCs w:val="28"/>
              </w:rPr>
            </w:pPr>
            <w:r>
              <w:rPr>
                <w:rFonts w:hint="eastAsia"/>
                <w:sz w:val="28"/>
                <w:szCs w:val="28"/>
              </w:rPr>
              <w:t>2</w:t>
            </w:r>
          </w:p>
        </w:tc>
        <w:tc>
          <w:tcPr>
            <w:tcW w:w="2108" w:type="dxa"/>
            <w:noWrap w:val="0"/>
            <w:vAlign w:val="top"/>
          </w:tcPr>
          <w:p>
            <w:pPr>
              <w:rPr>
                <w:sz w:val="28"/>
                <w:szCs w:val="28"/>
              </w:rPr>
            </w:pPr>
            <w:r>
              <w:rPr>
                <w:rFonts w:hint="eastAsia"/>
                <w:sz w:val="24"/>
                <w:szCs w:val="24"/>
              </w:rPr>
              <w:t>滨江校区北大门（含值班室）外墙石材幕墙</w:t>
            </w:r>
          </w:p>
        </w:tc>
        <w:tc>
          <w:tcPr>
            <w:tcW w:w="3105" w:type="dxa"/>
            <w:noWrap w:val="0"/>
            <w:vAlign w:val="top"/>
          </w:tcPr>
          <w:p>
            <w:pPr>
              <w:rPr>
                <w:sz w:val="28"/>
                <w:szCs w:val="28"/>
              </w:rPr>
            </w:pPr>
            <w:r>
              <w:rPr>
                <w:sz w:val="28"/>
                <w:szCs w:val="28"/>
              </w:rPr>
              <w:drawing>
                <wp:inline distT="0" distB="0" distL="114300" distR="114300">
                  <wp:extent cx="1918970" cy="1439545"/>
                  <wp:effectExtent l="0" t="0" r="5080" b="8255"/>
                  <wp:docPr id="8" name="图片 1" descr="1629443459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29443459643.jpg"/>
                          <pic:cNvPicPr>
                            <a:picLocks noChangeAspect="1"/>
                          </pic:cNvPicPr>
                        </pic:nvPicPr>
                        <pic:blipFill>
                          <a:blip r:embed="rId7"/>
                          <a:stretch>
                            <a:fillRect/>
                          </a:stretch>
                        </pic:blipFill>
                        <pic:spPr>
                          <a:xfrm>
                            <a:off x="0" y="0"/>
                            <a:ext cx="1918970"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571" w:type="dxa"/>
            <w:noWrap w:val="0"/>
            <w:vAlign w:val="top"/>
          </w:tcPr>
          <w:p>
            <w:pPr>
              <w:rPr>
                <w:sz w:val="28"/>
                <w:szCs w:val="28"/>
              </w:rPr>
            </w:pPr>
            <w:r>
              <w:rPr>
                <w:rFonts w:hint="eastAsia"/>
                <w:sz w:val="28"/>
                <w:szCs w:val="28"/>
              </w:rPr>
              <w:t>3</w:t>
            </w:r>
          </w:p>
        </w:tc>
        <w:tc>
          <w:tcPr>
            <w:tcW w:w="2108" w:type="dxa"/>
            <w:noWrap w:val="0"/>
            <w:vAlign w:val="top"/>
          </w:tcPr>
          <w:p>
            <w:pPr>
              <w:rPr>
                <w:sz w:val="28"/>
                <w:szCs w:val="28"/>
              </w:rPr>
            </w:pPr>
            <w:r>
              <w:rPr>
                <w:rFonts w:hint="eastAsia"/>
                <w:sz w:val="24"/>
                <w:szCs w:val="24"/>
              </w:rPr>
              <w:t>滨江校区东大门（含值班室）外墙石材幕墙</w:t>
            </w:r>
          </w:p>
        </w:tc>
        <w:tc>
          <w:tcPr>
            <w:tcW w:w="3105" w:type="dxa"/>
            <w:noWrap w:val="0"/>
            <w:vAlign w:val="top"/>
          </w:tcPr>
          <w:p>
            <w:pPr>
              <w:rPr>
                <w:sz w:val="28"/>
                <w:szCs w:val="28"/>
              </w:rPr>
            </w:pPr>
            <w:r>
              <w:rPr>
                <w:sz w:val="28"/>
                <w:szCs w:val="28"/>
              </w:rPr>
              <w:drawing>
                <wp:inline distT="0" distB="0" distL="114300" distR="114300">
                  <wp:extent cx="1919605" cy="1439545"/>
                  <wp:effectExtent l="0" t="0" r="4445" b="8255"/>
                  <wp:docPr id="9" name="图片 7" descr="162944345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29443459602.jpg"/>
                          <pic:cNvPicPr>
                            <a:picLocks noChangeAspect="1"/>
                          </pic:cNvPicPr>
                        </pic:nvPicPr>
                        <pic:blipFill>
                          <a:blip r:embed="rId8"/>
                          <a:stretch>
                            <a:fillRect/>
                          </a:stretch>
                        </pic:blipFill>
                        <pic:spPr>
                          <a:xfrm>
                            <a:off x="0" y="0"/>
                            <a:ext cx="1919605"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571" w:type="dxa"/>
            <w:noWrap w:val="0"/>
            <w:vAlign w:val="top"/>
          </w:tcPr>
          <w:p>
            <w:pPr>
              <w:rPr>
                <w:sz w:val="28"/>
                <w:szCs w:val="28"/>
              </w:rPr>
            </w:pPr>
            <w:r>
              <w:rPr>
                <w:rFonts w:hint="eastAsia"/>
                <w:sz w:val="28"/>
                <w:szCs w:val="28"/>
              </w:rPr>
              <w:t>4</w:t>
            </w:r>
          </w:p>
        </w:tc>
        <w:tc>
          <w:tcPr>
            <w:tcW w:w="2108" w:type="dxa"/>
            <w:noWrap w:val="0"/>
            <w:vAlign w:val="top"/>
          </w:tcPr>
          <w:p>
            <w:pPr>
              <w:rPr>
                <w:sz w:val="24"/>
                <w:szCs w:val="24"/>
              </w:rPr>
            </w:pPr>
            <w:r>
              <w:rPr>
                <w:rFonts w:hint="eastAsia"/>
                <w:sz w:val="24"/>
                <w:szCs w:val="24"/>
              </w:rPr>
              <w:t>赭麓校区主大门（含值班室）外墙石材幕墙</w:t>
            </w:r>
          </w:p>
        </w:tc>
        <w:tc>
          <w:tcPr>
            <w:tcW w:w="3105" w:type="dxa"/>
            <w:noWrap w:val="0"/>
            <w:vAlign w:val="top"/>
          </w:tcPr>
          <w:p>
            <w:pPr>
              <w:rPr>
                <w:sz w:val="28"/>
                <w:szCs w:val="28"/>
              </w:rPr>
            </w:pPr>
            <w:r>
              <w:rPr>
                <w:sz w:val="28"/>
                <w:szCs w:val="28"/>
              </w:rPr>
              <w:drawing>
                <wp:inline distT="0" distB="0" distL="114300" distR="114300">
                  <wp:extent cx="1927860" cy="1445895"/>
                  <wp:effectExtent l="0" t="0" r="15240" b="1905"/>
                  <wp:docPr id="10" name="图片 2" descr="C:\Users\Administrator\Desktop\钢构及幕墙检测\08e4c7f22177b8d38859cc8f3192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strator\Desktop\钢构及幕墙检测\08e4c7f22177b8d38859cc8f31920a0.jpg"/>
                          <pic:cNvPicPr>
                            <a:picLocks noChangeAspect="1"/>
                          </pic:cNvPicPr>
                        </pic:nvPicPr>
                        <pic:blipFill>
                          <a:blip r:embed="rId9"/>
                          <a:stretch>
                            <a:fillRect/>
                          </a:stretch>
                        </pic:blipFill>
                        <pic:spPr>
                          <a:xfrm>
                            <a:off x="0" y="0"/>
                            <a:ext cx="1927860" cy="1445895"/>
                          </a:xfrm>
                          <a:prstGeom prst="rect">
                            <a:avLst/>
                          </a:prstGeom>
                          <a:noFill/>
                          <a:ln>
                            <a:noFill/>
                          </a:ln>
                        </pic:spPr>
                      </pic:pic>
                    </a:graphicData>
                  </a:graphic>
                </wp:inline>
              </w:drawing>
            </w:r>
          </w:p>
          <w:p>
            <w:pPr>
              <w:tabs>
                <w:tab w:val="left" w:pos="820"/>
              </w:tabs>
              <w:rPr>
                <w:sz w:val="28"/>
                <w:szCs w:val="28"/>
              </w:rPr>
            </w:pPr>
            <w:r>
              <w:rPr>
                <w:sz w:val="28"/>
                <w:szCs w:val="28"/>
              </w:rPr>
              <w:tab/>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bl>
    <w:p>
      <w:pPr>
        <w:rPr>
          <w:sz w:val="28"/>
          <w:szCs w:val="28"/>
        </w:rPr>
      </w:pPr>
      <w:r>
        <w:rPr>
          <w:rFonts w:hint="eastAsia" w:ascii="Times New Roman" w:hAnsi="Times New Roman" w:eastAsia="宋体" w:cs="Times New Roman"/>
          <w:b/>
          <w:kern w:val="0"/>
          <w:sz w:val="28"/>
          <w:szCs w:val="28"/>
          <w:lang w:val="en-US" w:eastAsia="zh-CN" w:bidi="ar-SA"/>
        </w:rPr>
        <w:t>工程量清单（既有钢结构安全检测鉴定）</w:t>
      </w:r>
    </w:p>
    <w:tbl>
      <w:tblPr>
        <w:tblStyle w:val="28"/>
        <w:tblW w:w="97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5"/>
        <w:gridCol w:w="3300"/>
        <w:gridCol w:w="1725"/>
        <w:gridCol w:w="9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0" w:type="dxa"/>
            <w:noWrap w:val="0"/>
            <w:vAlign w:val="top"/>
          </w:tcPr>
          <w:p>
            <w:pPr>
              <w:rPr>
                <w:sz w:val="24"/>
                <w:szCs w:val="24"/>
              </w:rPr>
            </w:pPr>
            <w:r>
              <w:rPr>
                <w:rFonts w:hint="eastAsia"/>
                <w:sz w:val="24"/>
                <w:szCs w:val="24"/>
              </w:rPr>
              <w:t>序号</w:t>
            </w:r>
          </w:p>
        </w:tc>
        <w:tc>
          <w:tcPr>
            <w:tcW w:w="915" w:type="dxa"/>
            <w:noWrap w:val="0"/>
            <w:vAlign w:val="top"/>
          </w:tcPr>
          <w:p>
            <w:pPr>
              <w:rPr>
                <w:sz w:val="24"/>
                <w:szCs w:val="24"/>
              </w:rPr>
            </w:pPr>
            <w:r>
              <w:rPr>
                <w:rFonts w:hint="eastAsia"/>
                <w:sz w:val="24"/>
                <w:szCs w:val="24"/>
              </w:rPr>
              <w:t>项目名称</w:t>
            </w:r>
          </w:p>
        </w:tc>
        <w:tc>
          <w:tcPr>
            <w:tcW w:w="3300" w:type="dxa"/>
            <w:noWrap w:val="0"/>
            <w:vAlign w:val="top"/>
          </w:tcPr>
          <w:p>
            <w:pPr>
              <w:rPr>
                <w:sz w:val="24"/>
                <w:szCs w:val="24"/>
              </w:rPr>
            </w:pPr>
            <w:r>
              <w:rPr>
                <w:rFonts w:hint="eastAsia"/>
                <w:sz w:val="24"/>
                <w:szCs w:val="24"/>
              </w:rPr>
              <w:t>项目图片</w:t>
            </w:r>
          </w:p>
        </w:tc>
        <w:tc>
          <w:tcPr>
            <w:tcW w:w="1725" w:type="dxa"/>
            <w:noWrap w:val="0"/>
            <w:vAlign w:val="top"/>
          </w:tcPr>
          <w:p>
            <w:pPr>
              <w:rPr>
                <w:sz w:val="24"/>
                <w:szCs w:val="24"/>
              </w:rPr>
            </w:pPr>
            <w:r>
              <w:rPr>
                <w:rFonts w:hint="eastAsia"/>
                <w:sz w:val="24"/>
                <w:szCs w:val="24"/>
              </w:rPr>
              <w:t>项目参数</w:t>
            </w:r>
          </w:p>
        </w:tc>
        <w:tc>
          <w:tcPr>
            <w:tcW w:w="900" w:type="dxa"/>
            <w:noWrap w:val="0"/>
            <w:vAlign w:val="top"/>
          </w:tcPr>
          <w:p>
            <w:pPr>
              <w:rPr>
                <w:sz w:val="24"/>
                <w:szCs w:val="24"/>
              </w:rPr>
            </w:pPr>
            <w:r>
              <w:rPr>
                <w:rFonts w:hint="eastAsia"/>
                <w:sz w:val="24"/>
                <w:szCs w:val="24"/>
              </w:rPr>
              <w:t>检测内容</w:t>
            </w:r>
          </w:p>
        </w:tc>
        <w:tc>
          <w:tcPr>
            <w:tcW w:w="2280" w:type="dxa"/>
            <w:noWrap w:val="0"/>
            <w:vAlign w:val="top"/>
          </w:tcPr>
          <w:p>
            <w:pPr>
              <w:rPr>
                <w:sz w:val="24"/>
                <w:szCs w:val="24"/>
              </w:rPr>
            </w:pPr>
            <w:r>
              <w:rPr>
                <w:rFonts w:hint="eastAsia"/>
                <w:sz w:val="24"/>
                <w:szCs w:val="24"/>
              </w:rPr>
              <w:t>检测点位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600" w:type="dxa"/>
            <w:noWrap w:val="0"/>
            <w:vAlign w:val="top"/>
          </w:tcPr>
          <w:p>
            <w:pPr>
              <w:rPr>
                <w:sz w:val="28"/>
                <w:szCs w:val="28"/>
              </w:rPr>
            </w:pPr>
            <w:r>
              <w:rPr>
                <w:rFonts w:hint="eastAsia"/>
                <w:sz w:val="28"/>
                <w:szCs w:val="28"/>
              </w:rPr>
              <w:t>1</w:t>
            </w:r>
          </w:p>
        </w:tc>
        <w:tc>
          <w:tcPr>
            <w:tcW w:w="915" w:type="dxa"/>
            <w:noWrap w:val="0"/>
            <w:vAlign w:val="top"/>
          </w:tcPr>
          <w:p>
            <w:pPr>
              <w:rPr>
                <w:sz w:val="24"/>
                <w:szCs w:val="24"/>
              </w:rPr>
            </w:pPr>
            <w:r>
              <w:rPr>
                <w:rFonts w:hint="eastAsia"/>
                <w:sz w:val="24"/>
                <w:szCs w:val="24"/>
              </w:rPr>
              <w:t>风雨操场网架</w:t>
            </w:r>
          </w:p>
        </w:tc>
        <w:tc>
          <w:tcPr>
            <w:tcW w:w="3300" w:type="dxa"/>
            <w:noWrap w:val="0"/>
            <w:vAlign w:val="top"/>
          </w:tcPr>
          <w:p>
            <w:pPr>
              <w:rPr>
                <w:sz w:val="28"/>
                <w:szCs w:val="28"/>
              </w:rPr>
            </w:pPr>
            <w:r>
              <w:rPr>
                <w:sz w:val="28"/>
                <w:szCs w:val="28"/>
              </w:rPr>
              <w:drawing>
                <wp:inline distT="0" distB="0" distL="114300" distR="114300">
                  <wp:extent cx="2026920" cy="1520190"/>
                  <wp:effectExtent l="0" t="0" r="11430" b="3810"/>
                  <wp:docPr id="11"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1629443459637.jpg"/>
                          <pic:cNvPicPr>
                            <a:picLocks noChangeAspect="1"/>
                          </pic:cNvPicPr>
                        </pic:nvPicPr>
                        <pic:blipFill>
                          <a:blip r:embed="rId10"/>
                          <a:stretch>
                            <a:fillRect/>
                          </a:stretch>
                        </pic:blipFill>
                        <pic:spPr>
                          <a:xfrm>
                            <a:off x="0" y="0"/>
                            <a:ext cx="2026920" cy="152019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投影面积约5500平方米，最高23米，最低15米</w:t>
            </w:r>
          </w:p>
        </w:tc>
        <w:tc>
          <w:tcPr>
            <w:tcW w:w="900" w:type="dxa"/>
            <w:vMerge w:val="restart"/>
            <w:noWrap w:val="0"/>
            <w:vAlign w:val="top"/>
          </w:tcPr>
          <w:p>
            <w:pPr>
              <w:rPr>
                <w:sz w:val="28"/>
                <w:szCs w:val="28"/>
              </w:rPr>
            </w:pPr>
            <w:r>
              <w:rPr>
                <w:rFonts w:hint="eastAsia" w:eastAsia="宋体" w:cs="Times New Roman"/>
                <w:sz w:val="24"/>
                <w:szCs w:val="24"/>
              </w:rPr>
              <w:t>详见第</w:t>
            </w:r>
            <w:r>
              <w:rPr>
                <w:rFonts w:hint="eastAsia" w:eastAsia="宋体" w:cs="Times New Roman"/>
                <w:sz w:val="24"/>
                <w:szCs w:val="24"/>
                <w:lang w:val="en-US" w:eastAsia="zh-CN"/>
              </w:rPr>
              <w:t>八</w:t>
            </w:r>
            <w:r>
              <w:rPr>
                <w:rFonts w:hint="eastAsia" w:eastAsia="宋体" w:cs="Times New Roman"/>
                <w:sz w:val="24"/>
                <w:szCs w:val="24"/>
              </w:rPr>
              <w:t>项工程内容</w:t>
            </w:r>
          </w:p>
        </w:tc>
        <w:tc>
          <w:tcPr>
            <w:tcW w:w="2280" w:type="dxa"/>
            <w:vMerge w:val="restart"/>
            <w:noWrap w:val="0"/>
            <w:vAlign w:val="top"/>
          </w:tcPr>
          <w:p>
            <w:pPr>
              <w:rPr>
                <w:sz w:val="24"/>
                <w:szCs w:val="24"/>
              </w:rPr>
            </w:pPr>
            <w:r>
              <w:rPr>
                <w:rFonts w:hint="eastAsia"/>
                <w:sz w:val="24"/>
                <w:szCs w:val="24"/>
              </w:rPr>
              <w:t>检测数量不低于GB/T50344-2019标准的相关要求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600" w:type="dxa"/>
            <w:noWrap w:val="0"/>
            <w:vAlign w:val="top"/>
          </w:tcPr>
          <w:p>
            <w:pPr>
              <w:rPr>
                <w:sz w:val="28"/>
                <w:szCs w:val="28"/>
              </w:rPr>
            </w:pPr>
            <w:r>
              <w:rPr>
                <w:rFonts w:hint="eastAsia"/>
                <w:sz w:val="28"/>
                <w:szCs w:val="28"/>
              </w:rPr>
              <w:t>2</w:t>
            </w:r>
          </w:p>
        </w:tc>
        <w:tc>
          <w:tcPr>
            <w:tcW w:w="915" w:type="dxa"/>
            <w:noWrap w:val="0"/>
            <w:vAlign w:val="top"/>
          </w:tcPr>
          <w:p>
            <w:pPr>
              <w:rPr>
                <w:sz w:val="24"/>
                <w:szCs w:val="24"/>
              </w:rPr>
            </w:pPr>
            <w:r>
              <w:rPr>
                <w:rFonts w:hint="eastAsia"/>
                <w:sz w:val="24"/>
                <w:szCs w:val="24"/>
              </w:rPr>
              <w:t>风雨操场钢雨棚</w:t>
            </w:r>
          </w:p>
        </w:tc>
        <w:tc>
          <w:tcPr>
            <w:tcW w:w="3300" w:type="dxa"/>
            <w:noWrap w:val="0"/>
            <w:vAlign w:val="top"/>
          </w:tcPr>
          <w:p>
            <w:pPr>
              <w:rPr>
                <w:sz w:val="28"/>
                <w:szCs w:val="28"/>
              </w:rPr>
            </w:pPr>
            <w:r>
              <w:rPr>
                <w:sz w:val="28"/>
                <w:szCs w:val="28"/>
              </w:rPr>
              <w:drawing>
                <wp:inline distT="0" distB="0" distL="114300" distR="114300">
                  <wp:extent cx="2021840" cy="1516380"/>
                  <wp:effectExtent l="0" t="0" r="16510" b="7620"/>
                  <wp:docPr id="12"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1629443459637.jpg"/>
                          <pic:cNvPicPr>
                            <a:picLocks noChangeAspect="1"/>
                          </pic:cNvPicPr>
                        </pic:nvPicPr>
                        <pic:blipFill>
                          <a:blip r:embed="rId10"/>
                          <a:stretch>
                            <a:fillRect/>
                          </a:stretch>
                        </pic:blipFill>
                        <pic:spPr>
                          <a:xfrm>
                            <a:off x="0" y="0"/>
                            <a:ext cx="2021840" cy="1516380"/>
                          </a:xfrm>
                          <a:prstGeom prst="rect">
                            <a:avLst/>
                          </a:prstGeom>
                          <a:noFill/>
                          <a:ln>
                            <a:noFill/>
                          </a:ln>
                        </pic:spPr>
                      </pic:pic>
                    </a:graphicData>
                  </a:graphic>
                </wp:inline>
              </w:drawing>
            </w:r>
          </w:p>
        </w:tc>
        <w:tc>
          <w:tcPr>
            <w:tcW w:w="1725" w:type="dxa"/>
            <w:noWrap w:val="0"/>
            <w:vAlign w:val="top"/>
          </w:tcPr>
          <w:p>
            <w:pPr>
              <w:rPr>
                <w:sz w:val="28"/>
                <w:szCs w:val="28"/>
              </w:rPr>
            </w:pPr>
            <w:r>
              <w:rPr>
                <w:rFonts w:hint="eastAsia"/>
                <w:sz w:val="28"/>
                <w:szCs w:val="28"/>
              </w:rPr>
              <w:t>4个钢雨棚</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00" w:type="dxa"/>
            <w:noWrap w:val="0"/>
            <w:vAlign w:val="top"/>
          </w:tcPr>
          <w:p>
            <w:pPr>
              <w:rPr>
                <w:sz w:val="28"/>
                <w:szCs w:val="28"/>
              </w:rPr>
            </w:pPr>
            <w:r>
              <w:rPr>
                <w:rFonts w:hint="eastAsia"/>
                <w:sz w:val="28"/>
                <w:szCs w:val="28"/>
              </w:rPr>
              <w:t>3</w:t>
            </w:r>
          </w:p>
        </w:tc>
        <w:tc>
          <w:tcPr>
            <w:tcW w:w="915" w:type="dxa"/>
            <w:noWrap w:val="0"/>
            <w:vAlign w:val="top"/>
          </w:tcPr>
          <w:p>
            <w:pPr>
              <w:rPr>
                <w:sz w:val="24"/>
                <w:szCs w:val="24"/>
              </w:rPr>
            </w:pPr>
            <w:r>
              <w:rPr>
                <w:rFonts w:hint="eastAsia"/>
                <w:sz w:val="24"/>
                <w:szCs w:val="24"/>
              </w:rPr>
              <w:t>逸夫科技楼屋顶钢结构飘蓬</w:t>
            </w:r>
          </w:p>
        </w:tc>
        <w:tc>
          <w:tcPr>
            <w:tcW w:w="3300" w:type="dxa"/>
            <w:noWrap w:val="0"/>
            <w:vAlign w:val="top"/>
          </w:tcPr>
          <w:p>
            <w:pPr>
              <w:rPr>
                <w:sz w:val="28"/>
                <w:szCs w:val="28"/>
              </w:rPr>
            </w:pPr>
            <w:r>
              <w:rPr>
                <w:sz w:val="28"/>
                <w:szCs w:val="28"/>
              </w:rPr>
              <w:drawing>
                <wp:inline distT="0" distB="0" distL="114300" distR="114300">
                  <wp:extent cx="1702435" cy="1675765"/>
                  <wp:effectExtent l="0" t="0" r="12065" b="635"/>
                  <wp:docPr id="13" name="图片 8"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9443459637.jpg"/>
                          <pic:cNvPicPr>
                            <a:picLocks noChangeAspect="1"/>
                          </pic:cNvPicPr>
                        </pic:nvPicPr>
                        <pic:blipFill>
                          <a:blip r:embed="rId11"/>
                          <a:stretch>
                            <a:fillRect/>
                          </a:stretch>
                        </pic:blipFill>
                        <pic:spPr>
                          <a:xfrm>
                            <a:off x="0" y="0"/>
                            <a:ext cx="1702435" cy="1675765"/>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投影面积约900平米，最高约25米，有楼梯直达屋顶</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00" w:type="dxa"/>
            <w:noWrap w:val="0"/>
            <w:vAlign w:val="top"/>
          </w:tcPr>
          <w:p>
            <w:pPr>
              <w:rPr>
                <w:sz w:val="28"/>
                <w:szCs w:val="28"/>
              </w:rPr>
            </w:pPr>
            <w:r>
              <w:rPr>
                <w:rFonts w:hint="eastAsia"/>
                <w:sz w:val="28"/>
                <w:szCs w:val="28"/>
              </w:rPr>
              <w:t>4</w:t>
            </w:r>
          </w:p>
        </w:tc>
        <w:tc>
          <w:tcPr>
            <w:tcW w:w="915" w:type="dxa"/>
            <w:noWrap w:val="0"/>
            <w:vAlign w:val="top"/>
          </w:tcPr>
          <w:p>
            <w:pPr>
              <w:rPr>
                <w:sz w:val="28"/>
                <w:szCs w:val="28"/>
              </w:rPr>
            </w:pPr>
            <w:r>
              <w:rPr>
                <w:rFonts w:hint="eastAsia"/>
                <w:sz w:val="24"/>
                <w:szCs w:val="24"/>
              </w:rPr>
              <w:t>逸夫科技楼屋顶钢结构雨蓬</w:t>
            </w:r>
          </w:p>
        </w:tc>
        <w:tc>
          <w:tcPr>
            <w:tcW w:w="3300" w:type="dxa"/>
            <w:noWrap w:val="0"/>
            <w:vAlign w:val="top"/>
          </w:tcPr>
          <w:p>
            <w:pPr>
              <w:rPr>
                <w:sz w:val="28"/>
                <w:szCs w:val="28"/>
              </w:rPr>
            </w:pPr>
            <w:r>
              <w:rPr>
                <w:sz w:val="28"/>
                <w:szCs w:val="28"/>
              </w:rPr>
              <w:drawing>
                <wp:inline distT="0" distB="0" distL="114300" distR="114300">
                  <wp:extent cx="1703070" cy="1277620"/>
                  <wp:effectExtent l="0" t="0" r="11430" b="17780"/>
                  <wp:docPr id="14" name="图片 10" descr="1629443459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29443459659.jpg"/>
                          <pic:cNvPicPr>
                            <a:picLocks noChangeAspect="1"/>
                          </pic:cNvPicPr>
                        </pic:nvPicPr>
                        <pic:blipFill>
                          <a:blip r:embed="rId12"/>
                          <a:stretch>
                            <a:fillRect/>
                          </a:stretch>
                        </pic:blipFill>
                        <pic:spPr>
                          <a:xfrm>
                            <a:off x="0" y="0"/>
                            <a:ext cx="1703070" cy="127762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2个钢结构雨棚，其中一个较大，面积约100平米</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600" w:type="dxa"/>
            <w:noWrap w:val="0"/>
            <w:vAlign w:val="top"/>
          </w:tcPr>
          <w:p>
            <w:pPr>
              <w:rPr>
                <w:sz w:val="28"/>
                <w:szCs w:val="28"/>
              </w:rPr>
            </w:pPr>
            <w:r>
              <w:rPr>
                <w:rFonts w:hint="eastAsia"/>
                <w:sz w:val="28"/>
                <w:szCs w:val="28"/>
              </w:rPr>
              <w:t>5</w:t>
            </w:r>
          </w:p>
        </w:tc>
        <w:tc>
          <w:tcPr>
            <w:tcW w:w="915" w:type="dxa"/>
            <w:noWrap w:val="0"/>
            <w:vAlign w:val="top"/>
          </w:tcPr>
          <w:p>
            <w:pPr>
              <w:rPr>
                <w:sz w:val="28"/>
                <w:szCs w:val="28"/>
              </w:rPr>
            </w:pPr>
            <w:r>
              <w:rPr>
                <w:rFonts w:hint="eastAsia" w:eastAsia="宋体" w:cs="Times New Roman"/>
                <w:sz w:val="24"/>
                <w:szCs w:val="24"/>
              </w:rPr>
              <w:t>南大门网架</w:t>
            </w:r>
          </w:p>
        </w:tc>
        <w:tc>
          <w:tcPr>
            <w:tcW w:w="3300" w:type="dxa"/>
            <w:noWrap w:val="0"/>
            <w:vAlign w:val="top"/>
          </w:tcPr>
          <w:p>
            <w:pPr>
              <w:rPr>
                <w:sz w:val="28"/>
                <w:szCs w:val="28"/>
              </w:rPr>
            </w:pPr>
            <w:r>
              <w:rPr>
                <w:sz w:val="28"/>
                <w:szCs w:val="28"/>
              </w:rPr>
              <w:drawing>
                <wp:inline distT="0" distB="0" distL="114300" distR="114300">
                  <wp:extent cx="1727835" cy="1296670"/>
                  <wp:effectExtent l="0" t="0" r="5715" b="17780"/>
                  <wp:docPr id="15"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1629443459617.jpg"/>
                          <pic:cNvPicPr>
                            <a:picLocks noChangeAspect="1"/>
                          </pic:cNvPicPr>
                        </pic:nvPicPr>
                        <pic:blipFill>
                          <a:blip r:embed="rId6"/>
                          <a:stretch>
                            <a:fillRect/>
                          </a:stretch>
                        </pic:blipFill>
                        <pic:spPr>
                          <a:xfrm>
                            <a:off x="0" y="0"/>
                            <a:ext cx="1727835" cy="129667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约500平米（投影面积）</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bl>
    <w:p>
      <w:pPr>
        <w:rPr>
          <w:sz w:val="28"/>
          <w:szCs w:val="28"/>
        </w:rPr>
      </w:pPr>
    </w:p>
    <w:p>
      <w:pPr>
        <w:autoSpaceDN w:val="0"/>
        <w:rPr>
          <w:rFonts w:hint="eastAsia"/>
          <w:b/>
          <w:bCs/>
          <w:sz w:val="30"/>
          <w:szCs w:val="30"/>
        </w:rPr>
      </w:pPr>
    </w:p>
    <w:p>
      <w:pPr>
        <w:pStyle w:val="44"/>
        <w:spacing w:line="480" w:lineRule="exact"/>
        <w:ind w:left="1280"/>
        <w:rPr>
          <w:rFonts w:hint="eastAsia" w:ascii="宋体" w:hAnsi="宋体"/>
          <w:sz w:val="28"/>
          <w:szCs w:val="28"/>
        </w:rPr>
      </w:pPr>
    </w:p>
    <w:p>
      <w:pPr>
        <w:adjustRightInd w:val="0"/>
        <w:snapToGrid w:val="0"/>
        <w:spacing w:line="500" w:lineRule="exact"/>
        <w:ind w:firstLine="560" w:firstLineChars="200"/>
        <w:rPr>
          <w:rFonts w:hint="eastAsia" w:ascii="仿宋_GB2312" w:eastAsia="仿宋_GB2312"/>
          <w:szCs w:val="28"/>
        </w:rPr>
      </w:pPr>
    </w:p>
    <w:p>
      <w:pPr>
        <w:pStyle w:val="5"/>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pStyle w:val="46"/>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0" w:name="_Toc49763005"/>
      <w:r>
        <w:rPr>
          <w:rFonts w:hint="eastAsia" w:ascii="Calibri" w:hAnsi="Calibri" w:eastAsia="宋体" w:cs="Times New Roman"/>
          <w:b/>
          <w:bCs/>
          <w:kern w:val="2"/>
          <w:sz w:val="28"/>
          <w:szCs w:val="28"/>
        </w:rPr>
        <w:t xml:space="preserve">一、评审原则 </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2、要求投标单位</w:t>
      </w:r>
      <w:r>
        <w:rPr>
          <w:rFonts w:ascii="Calibri" w:hAnsi="Calibri" w:eastAsia="宋体" w:cs="Times New Roman"/>
          <w:kern w:val="2"/>
          <w:sz w:val="28"/>
          <w:szCs w:val="28"/>
        </w:rPr>
        <w:t>最大限度地满足招标文件或招标公告的各项实质性要求</w:t>
      </w:r>
      <w:r>
        <w:rPr>
          <w:rFonts w:hint="eastAsia" w:ascii="Calibri" w:hAnsi="Calibri" w:eastAsia="宋体" w:cs="Times New Roman"/>
          <w:kern w:val="2"/>
          <w:sz w:val="28"/>
          <w:szCs w:val="28"/>
        </w:rPr>
        <w:t>；</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3、评标方式：本次评标采用综合评分法。</w:t>
      </w:r>
    </w:p>
    <w:p>
      <w:pPr>
        <w:pStyle w:val="46"/>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二、评审内容及分值分配（满分100分）</w:t>
      </w:r>
    </w:p>
    <w:tbl>
      <w:tblPr>
        <w:tblStyle w:val="2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98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pPr>
              <w:rPr>
                <w:b/>
                <w:bCs/>
                <w:sz w:val="24"/>
                <w:szCs w:val="24"/>
              </w:rPr>
            </w:pPr>
            <w:r>
              <w:rPr>
                <w:rFonts w:hint="eastAsia"/>
                <w:b/>
                <w:bCs/>
                <w:sz w:val="24"/>
                <w:szCs w:val="24"/>
              </w:rPr>
              <w:t>报价</w:t>
            </w:r>
          </w:p>
          <w:p>
            <w:pPr>
              <w:rPr>
                <w:sz w:val="24"/>
                <w:szCs w:val="24"/>
              </w:rPr>
            </w:pPr>
            <w:r>
              <w:rPr>
                <w:rFonts w:hint="eastAsia"/>
                <w:b/>
                <w:bCs/>
                <w:sz w:val="24"/>
                <w:szCs w:val="24"/>
                <w:lang w:val="en-US" w:eastAsia="zh-CN"/>
              </w:rPr>
              <w:t>65</w:t>
            </w:r>
            <w:r>
              <w:rPr>
                <w:rFonts w:hint="eastAsia"/>
                <w:b/>
                <w:bCs/>
                <w:sz w:val="24"/>
                <w:szCs w:val="24"/>
              </w:rPr>
              <w:t xml:space="preserve">分 </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1）评标基准价的确定。有效投标单位为在10家以内（含）的，各投标单位报价平均值作为基准分（65分）；超过10家的，去掉二个最高报价和二个最低报价，其余各投标单位报价平均值作为基准分（65分）。无效响应的供应商报价不参与评标基准价计算。</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2）报价得分的确定。报价得分＝基准分－|(投标人报价－平均报价）／平均报价|X 100 X B；（报价得分保留2位小数）</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B取值方式为：当投标人报价高于平均报价时，B取值为2；当投标人报价低于平均报价时，B取值为1。</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406" w:type="dxa"/>
            <w:vMerge w:val="restart"/>
            <w:tcBorders>
              <w:top w:val="single" w:color="auto" w:sz="4" w:space="0"/>
              <w:left w:val="single" w:color="auto" w:sz="4" w:space="0"/>
              <w:right w:val="single" w:color="auto" w:sz="4" w:space="0"/>
            </w:tcBorders>
            <w:noWrap w:val="0"/>
            <w:vAlign w:val="center"/>
          </w:tcPr>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sz w:val="24"/>
                <w:szCs w:val="24"/>
              </w:rPr>
            </w:pPr>
            <w:r>
              <w:rPr>
                <w:rFonts w:hint="eastAsia" w:ascii="Calibri" w:hAnsi="Calibri" w:eastAsia="宋体" w:cs="Times New Roman"/>
                <w:b/>
                <w:bCs/>
                <w:kern w:val="2"/>
                <w:sz w:val="24"/>
                <w:szCs w:val="24"/>
              </w:rPr>
              <w:t>技术标部分 35分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eastAsia="宋体" w:cs="Times New Roman"/>
                <w:b/>
                <w:kern w:val="2"/>
                <w:sz w:val="24"/>
                <w:szCs w:val="24"/>
              </w:rPr>
              <w:t>服务方案    21分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kern w:val="2"/>
                <w:sz w:val="24"/>
                <w:szCs w:val="24"/>
              </w:rPr>
            </w:pPr>
            <w:r>
              <w:rPr>
                <w:rFonts w:hint="eastAsia" w:ascii="Calibri" w:hAnsi="Calibri" w:eastAsia="宋体" w:cs="Times New Roman"/>
                <w:b/>
                <w:kern w:val="2"/>
                <w:sz w:val="24"/>
                <w:szCs w:val="24"/>
              </w:rPr>
              <w:t>1）、人员配置 ：3分</w:t>
            </w:r>
            <w:r>
              <w:rPr>
                <w:rFonts w:hint="eastAsia" w:cs="Times New Roman"/>
                <w:b/>
                <w:kern w:val="2"/>
                <w:sz w:val="24"/>
                <w:szCs w:val="24"/>
                <w:lang w:eastAsia="zh-CN"/>
              </w:rPr>
              <w:t>。</w:t>
            </w:r>
            <w:r>
              <w:rPr>
                <w:rFonts w:hint="eastAsia" w:ascii="Calibri" w:hAnsi="Calibri" w:eastAsia="宋体" w:cs="Times New Roman"/>
                <w:kern w:val="2"/>
                <w:sz w:val="24"/>
                <w:szCs w:val="24"/>
              </w:rPr>
              <w:t>满足以下项目小组成员条件的得满分,否则不得分</w:t>
            </w:r>
            <w:r>
              <w:rPr>
                <w:rFonts w:hint="eastAsia" w:cs="Times New Roman"/>
                <w:kern w:val="2"/>
                <w:sz w:val="24"/>
                <w:szCs w:val="24"/>
                <w:lang w:eastAsia="zh-CN"/>
              </w:rPr>
              <w:t>。</w:t>
            </w:r>
            <w:r>
              <w:rPr>
                <w:rFonts w:hint="eastAsia" w:ascii="Calibri" w:hAnsi="Calibri" w:eastAsia="宋体" w:cs="Times New Roman"/>
                <w:kern w:val="2"/>
                <w:sz w:val="24"/>
                <w:szCs w:val="24"/>
              </w:rPr>
              <w:t>(1)、项目负责人（1名），满足条件1分；不满足，不得分。须具有高级及以上职称，且具有省级及以上建设行政主管部门颁发的检测人员岗位资格证书。(2)、结构验算人员（至少2名），满足条件1分；不满足，不得分。须具有中级及以上职称，且具有注册结构工程师证书。(3)、试验检测员（至少2名），满足条件1分；不满足，不得分。具有建设主管部门颁发的检测人员岗位资格证书。</w:t>
            </w:r>
          </w:p>
          <w:p>
            <w:pPr>
              <w:pStyle w:val="46"/>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color w:val="000000"/>
                <w:kern w:val="2"/>
                <w:sz w:val="24"/>
                <w:szCs w:val="24"/>
              </w:rPr>
              <w:t>2）、各项工作计划、工作程序流程、进度控制措施设置 ：</w:t>
            </w:r>
            <w:r>
              <w:rPr>
                <w:rFonts w:hint="eastAsia" w:ascii="Calibri" w:hAnsi="Calibri" w:eastAsia="宋体" w:cs="Times New Roman"/>
                <w:b/>
                <w:kern w:val="2"/>
                <w:sz w:val="24"/>
                <w:szCs w:val="24"/>
              </w:rPr>
              <w:t>5分</w:t>
            </w:r>
            <w:r>
              <w:rPr>
                <w:rFonts w:hint="eastAsia" w:cs="Times New Roman"/>
                <w:b/>
                <w:kern w:val="2"/>
                <w:sz w:val="24"/>
                <w:szCs w:val="24"/>
                <w:lang w:eastAsia="zh-CN"/>
              </w:rPr>
              <w:t>。</w:t>
            </w:r>
          </w:p>
          <w:p>
            <w:pPr>
              <w:pStyle w:val="46"/>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kern w:val="2"/>
                <w:sz w:val="24"/>
                <w:szCs w:val="24"/>
              </w:rPr>
              <w:t>3）、服务规范及服务质量保障措施：5分</w:t>
            </w:r>
            <w:r>
              <w:rPr>
                <w:rFonts w:hint="eastAsia" w:cs="Times New Roman"/>
                <w:b/>
                <w:kern w:val="2"/>
                <w:sz w:val="24"/>
                <w:szCs w:val="24"/>
                <w:lang w:eastAsia="zh-CN"/>
              </w:rPr>
              <w:t>。</w:t>
            </w:r>
          </w:p>
          <w:p>
            <w:pPr>
              <w:pStyle w:val="46"/>
              <w:spacing w:line="600" w:lineRule="exact"/>
              <w:rPr>
                <w:sz w:val="24"/>
                <w:szCs w:val="24"/>
              </w:rPr>
            </w:pPr>
            <w:r>
              <w:rPr>
                <w:rFonts w:hint="eastAsia" w:ascii="Calibri" w:hAnsi="Calibri" w:eastAsia="宋体" w:cs="Times New Roman"/>
                <w:b/>
                <w:kern w:val="2"/>
                <w:sz w:val="24"/>
                <w:szCs w:val="24"/>
              </w:rPr>
              <w:t>4）、安全保障措施：8分</w:t>
            </w:r>
            <w:r>
              <w:rPr>
                <w:rFonts w:hint="eastAsia" w:cs="Times New Roman"/>
                <w:b/>
                <w:kern w:val="2"/>
                <w:sz w:val="24"/>
                <w:szCs w:val="24"/>
                <w:lang w:eastAsia="zh-CN"/>
              </w:rPr>
              <w:t>。</w:t>
            </w:r>
            <w:r>
              <w:rPr>
                <w:rFonts w:hint="eastAsia" w:ascii="Calibri" w:hAnsi="Calibri" w:eastAsia="宋体" w:cs="Times New Roman"/>
                <w:kern w:val="2"/>
                <w:sz w:val="24"/>
                <w:szCs w:val="24"/>
              </w:rPr>
              <w:t>本项目大部分作业面为高空作业，其中，南门网架、逸夫科技楼两个钢雨棚需要登高车进行作业，风雨操场网架屋面无检修通道，屋面最高处约23米，最低处约15米，且登高车无法进入，可采取蜘蛛人或脚手架或其他可行的方式进行登高作业，中标人应根据以上实际情况踏勘现场，制定详细的安全作业细则，要求描述详尽，方案科学，合理，责任明确。重点针对风雨操场网架屋面，且要有安全责任承诺书，无安全责任承诺书的，该项最多只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cs="Times New Roman"/>
                <w:b/>
                <w:kern w:val="2"/>
                <w:sz w:val="24"/>
                <w:szCs w:val="24"/>
                <w:lang w:eastAsia="zh-CN"/>
              </w:rPr>
              <w:t>视频</w:t>
            </w:r>
            <w:r>
              <w:rPr>
                <w:rFonts w:hint="eastAsia" w:ascii="Calibri" w:hAnsi="Calibri" w:eastAsia="宋体" w:cs="Times New Roman"/>
                <w:b/>
                <w:kern w:val="2"/>
                <w:sz w:val="24"/>
                <w:szCs w:val="24"/>
              </w:rPr>
              <w:t>踏勘                          4分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80" w:firstLineChars="200"/>
              <w:rPr>
                <w:sz w:val="24"/>
                <w:szCs w:val="24"/>
              </w:rPr>
            </w:pPr>
            <w:r>
              <w:rPr>
                <w:rFonts w:hint="eastAsia" w:ascii="Calibri" w:hAnsi="Calibri" w:eastAsia="宋体" w:cs="Times New Roman"/>
                <w:kern w:val="2"/>
                <w:sz w:val="24"/>
                <w:szCs w:val="24"/>
                <w:lang w:val="en-US" w:eastAsia="zh-CN" w:bidi="ar-SA"/>
              </w:rPr>
              <w:t>各投标单位书面承诺：观看了踏勘视频并充分理解了项目的重点及难点，并综合考虑措施费、不可预见费等等方面因素进行报价。有以上书面承诺的，统一给4分；没有书面承诺的，不给分；书面承诺内容不全面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b/>
                <w:kern w:val="2"/>
                <w:sz w:val="24"/>
                <w:szCs w:val="24"/>
              </w:rPr>
            </w:pPr>
            <w:r>
              <w:rPr>
                <w:rFonts w:hint="eastAsia" w:ascii="Calibri" w:hAnsi="Calibri" w:eastAsia="宋体" w:cs="Times New Roman"/>
                <w:b/>
                <w:kern w:val="2"/>
                <w:sz w:val="24"/>
                <w:szCs w:val="24"/>
              </w:rPr>
              <w:t>投标人的业绩                        10分</w:t>
            </w:r>
          </w:p>
          <w:p>
            <w:pPr>
              <w:rPr>
                <w:sz w:val="24"/>
                <w:szCs w:val="24"/>
              </w:rPr>
            </w:pP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ind w:firstLine="480" w:firstLineChars="200"/>
              <w:rPr>
                <w:rFonts w:ascii="Calibri" w:hAnsi="Calibri" w:eastAsia="宋体" w:cs="Times New Roman"/>
                <w:kern w:val="2"/>
                <w:sz w:val="24"/>
                <w:szCs w:val="24"/>
              </w:rPr>
            </w:pPr>
            <w:r>
              <w:rPr>
                <w:rFonts w:hint="eastAsia" w:ascii="Calibri" w:hAnsi="Calibri" w:eastAsia="宋体" w:cs="Times New Roman"/>
                <w:kern w:val="2"/>
                <w:sz w:val="24"/>
                <w:szCs w:val="24"/>
              </w:rPr>
              <w:t>2019年1月1日以来（以合同签订时间为准），投标人具有1个单个合同金额不少于20万元的建构筑物安全性鉴定（或安全评估）项目业绩的，得2分，每多提供1个上述业绩得2分，满分10分。</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注：投标文件中须提供投标人须知前附表要求的业绩证明材料复印件。（以服务合同为准，复印件应能辨识买卖双方公章、签订时间、金额，复印件须加盖投标人公章；否则，不得分）</w:t>
            </w:r>
          </w:p>
          <w:p>
            <w:pPr>
              <w:rPr>
                <w:sz w:val="24"/>
                <w:szCs w:val="24"/>
              </w:rPr>
            </w:pPr>
          </w:p>
        </w:tc>
      </w:tr>
    </w:tbl>
    <w:p>
      <w:pPr>
        <w:pStyle w:val="46"/>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皖南医学院楼宇钢网架等安全检测鉴定项目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default"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pStyle w:val="26"/>
              <w:numPr>
                <w:ilvl w:val="0"/>
                <w:numId w:val="0"/>
              </w:numPr>
              <w:rPr>
                <w:rFonts w:hint="eastAsia"/>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hAnsi="宋体"/>
                <w:spacing w:val="-6"/>
                <w:sz w:val="24"/>
                <w:szCs w:val="24"/>
                <w:u w:val="single"/>
                <w:lang w:val="en-US" w:eastAsia="zh-CN"/>
              </w:rPr>
              <w:t>元</w:t>
            </w:r>
            <w:r>
              <w:rPr>
                <w:rFonts w:hint="eastAsia" w:ascii="宋体" w:hAnsi="宋体"/>
                <w:spacing w:val="-6"/>
                <w:sz w:val="24"/>
                <w:szCs w:val="24"/>
                <w:u w:val="single"/>
              </w:rPr>
              <w:t xml:space="preserve"> </w:t>
            </w: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49090582"/>
      <w:bookmarkStart w:id="118" w:name="_Toc24878535"/>
      <w:bookmarkStart w:id="119" w:name="_Toc23828483"/>
      <w:bookmarkStart w:id="120" w:name="_Toc513029281"/>
      <w:bookmarkStart w:id="121" w:name="_Toc26554103"/>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9"/>
        <w:ind w:firstLine="0" w:firstLineChars="0"/>
        <w:rPr>
          <w:rFonts w:hint="eastAsia" w:hAnsi="宋体" w:eastAsia="宋体"/>
          <w:sz w:val="24"/>
          <w:szCs w:val="24"/>
        </w:rPr>
      </w:pPr>
    </w:p>
    <w:bookmarkEnd w:id="124"/>
    <w:p>
      <w:pPr>
        <w:jc w:val="center"/>
        <w:rPr>
          <w:rStyle w:val="64"/>
          <w:rFonts w:ascii="华文中宋" w:hAnsi="华文中宋" w:eastAsia="华文中宋"/>
          <w:b w:val="0"/>
          <w:color w:val="auto"/>
          <w:sz w:val="28"/>
          <w:szCs w:val="28"/>
        </w:rPr>
      </w:pPr>
      <w:bookmarkStart w:id="125" w:name="_Toc513029276"/>
      <w:bookmarkStart w:id="126" w:name="_Toc26554095"/>
      <w:bookmarkStart w:id="127" w:name="_Toc120614283"/>
      <w:bookmarkStart w:id="128" w:name="_Toc23828478"/>
      <w:bookmarkStart w:id="129" w:name="_Toc22356580"/>
      <w:bookmarkStart w:id="130" w:name="_Toc460901585"/>
      <w:bookmarkStart w:id="131" w:name="_Toc49090577"/>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1"/>
      <w:bookmarkStart w:id="134" w:name="OLE_LINK3"/>
      <w:bookmarkStart w:id="135" w:name="OLE_LINK2"/>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7"/>
      <w:bookmarkStart w:id="137" w:name="OLE_LINK4"/>
      <w:bookmarkStart w:id="138" w:name="OLE_LINK5"/>
      <w:bookmarkStart w:id="139" w:name="OLE_LINK8"/>
      <w:bookmarkStart w:id="140" w:name="OLE_LINK9"/>
      <w:bookmarkStart w:id="141" w:name="OLE_LINK6"/>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8"/>
      <w:bookmarkStart w:id="143" w:name="OLE_LINK77"/>
      <w:bookmarkStart w:id="144" w:name="OLE_LINK76"/>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第五章 </w:t>
      </w:r>
      <w:r>
        <w:rPr>
          <w:rStyle w:val="30"/>
          <w:rFonts w:hint="eastAsia" w:ascii="微软雅黑" w:hAnsi="微软雅黑" w:eastAsia="黑体"/>
          <w:sz w:val="30"/>
          <w:szCs w:val="30"/>
        </w:rPr>
        <w:t> </w:t>
      </w:r>
      <w:r>
        <w:rPr>
          <w:rStyle w:val="30"/>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1"/>
      <w:bookmarkStart w:id="146" w:name="OLE_LINK13"/>
      <w:bookmarkStart w:id="147"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30"/>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第六章 </w:t>
      </w:r>
      <w:r>
        <w:rPr>
          <w:rStyle w:val="30"/>
          <w:rFonts w:hint="eastAsia" w:ascii="微软雅黑" w:hAnsi="微软雅黑" w:eastAsia="黑体"/>
          <w:sz w:val="30"/>
          <w:szCs w:val="30"/>
        </w:rPr>
        <w:t> </w:t>
      </w:r>
      <w:r>
        <w:rPr>
          <w:rStyle w:val="30"/>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30"/>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8"/>
      <w:bookmarkStart w:id="151" w:name="OLE_LINK16"/>
      <w:bookmarkStart w:id="152" w:name="OLE_LINK17"/>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30"/>
          <w:rFonts w:ascii="仿宋_GB2312" w:hAnsi="微软雅黑" w:eastAsia="仿宋_GB2312"/>
          <w:sz w:val="24"/>
          <w:szCs w:val="24"/>
        </w:rPr>
      </w:pPr>
      <w:r>
        <w:rPr>
          <w:rStyle w:val="30"/>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30"/>
          <w:rFonts w:ascii="黑体" w:hAnsi="黑体" w:eastAsia="黑体"/>
          <w:sz w:val="24"/>
          <w:szCs w:val="24"/>
        </w:rPr>
      </w:pPr>
      <w:r>
        <w:rPr>
          <w:rStyle w:val="30"/>
          <w:rFonts w:hint="eastAsia" w:ascii="黑体" w:hAnsi="黑体" w:eastAsia="黑体"/>
          <w:sz w:val="24"/>
          <w:szCs w:val="24"/>
        </w:rPr>
        <w:t xml:space="preserve">第七章 </w:t>
      </w:r>
      <w:r>
        <w:rPr>
          <w:rStyle w:val="30"/>
          <w:rFonts w:hint="eastAsia" w:ascii="微软雅黑" w:hAnsi="微软雅黑" w:eastAsia="黑体"/>
          <w:sz w:val="24"/>
          <w:szCs w:val="24"/>
        </w:rPr>
        <w:t> </w:t>
      </w:r>
      <w:r>
        <w:rPr>
          <w:rStyle w:val="30"/>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EE76F25"/>
    <w:multiLevelType w:val="multilevel"/>
    <w:tmpl w:val="3EE76F25"/>
    <w:lvl w:ilvl="0" w:tentative="0">
      <w:start w:val="1"/>
      <w:numFmt w:val="japaneseCounting"/>
      <w:lvlText w:val="%1、"/>
      <w:lvlJc w:val="left"/>
      <w:pPr>
        <w:ind w:left="720" w:hanging="720"/>
      </w:pPr>
      <w:rPr>
        <w:rFonts w:ascii="Calibri" w:hAnsi="Calibri" w:eastAsia="宋体" w:cs="Times New Roman"/>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432311F"/>
    <w:rsid w:val="04910E13"/>
    <w:rsid w:val="04E55E3A"/>
    <w:rsid w:val="055F6389"/>
    <w:rsid w:val="063B6739"/>
    <w:rsid w:val="08B3235C"/>
    <w:rsid w:val="09296F01"/>
    <w:rsid w:val="09A84CAA"/>
    <w:rsid w:val="09AC2920"/>
    <w:rsid w:val="0A4546CD"/>
    <w:rsid w:val="0A9D2C05"/>
    <w:rsid w:val="0B7F3640"/>
    <w:rsid w:val="0C247C06"/>
    <w:rsid w:val="0C5D773D"/>
    <w:rsid w:val="0CF60454"/>
    <w:rsid w:val="0D7754CF"/>
    <w:rsid w:val="0D7E2A6A"/>
    <w:rsid w:val="0DA16FB4"/>
    <w:rsid w:val="0E7E3960"/>
    <w:rsid w:val="0ECE2C8D"/>
    <w:rsid w:val="107556EE"/>
    <w:rsid w:val="10A328AC"/>
    <w:rsid w:val="11097CFF"/>
    <w:rsid w:val="11A93BAF"/>
    <w:rsid w:val="12A869B3"/>
    <w:rsid w:val="162C38CF"/>
    <w:rsid w:val="163F09E2"/>
    <w:rsid w:val="176150F5"/>
    <w:rsid w:val="177B58CD"/>
    <w:rsid w:val="18020BC4"/>
    <w:rsid w:val="18E70052"/>
    <w:rsid w:val="19254BEF"/>
    <w:rsid w:val="19DC3498"/>
    <w:rsid w:val="1A07319C"/>
    <w:rsid w:val="1A33516B"/>
    <w:rsid w:val="1B7570E3"/>
    <w:rsid w:val="1E2D6CC4"/>
    <w:rsid w:val="1EFC0D73"/>
    <w:rsid w:val="1F025BBE"/>
    <w:rsid w:val="1F162A66"/>
    <w:rsid w:val="1FD03D76"/>
    <w:rsid w:val="203877A5"/>
    <w:rsid w:val="20EB3EDD"/>
    <w:rsid w:val="21A428FD"/>
    <w:rsid w:val="228869AA"/>
    <w:rsid w:val="22C22324"/>
    <w:rsid w:val="23567244"/>
    <w:rsid w:val="236513B9"/>
    <w:rsid w:val="261507FA"/>
    <w:rsid w:val="26566759"/>
    <w:rsid w:val="27717DCB"/>
    <w:rsid w:val="281D1648"/>
    <w:rsid w:val="28574F87"/>
    <w:rsid w:val="28AF482A"/>
    <w:rsid w:val="291D580A"/>
    <w:rsid w:val="29674BDA"/>
    <w:rsid w:val="29831EC9"/>
    <w:rsid w:val="29B44350"/>
    <w:rsid w:val="2B9343A5"/>
    <w:rsid w:val="2C231C3E"/>
    <w:rsid w:val="2C43766C"/>
    <w:rsid w:val="2D31750C"/>
    <w:rsid w:val="2DE634B9"/>
    <w:rsid w:val="2EDF550D"/>
    <w:rsid w:val="31495EDE"/>
    <w:rsid w:val="3181362E"/>
    <w:rsid w:val="31BC6863"/>
    <w:rsid w:val="32FA2CBE"/>
    <w:rsid w:val="338B35BF"/>
    <w:rsid w:val="34092461"/>
    <w:rsid w:val="34EF42C7"/>
    <w:rsid w:val="36607CEC"/>
    <w:rsid w:val="36EF1694"/>
    <w:rsid w:val="388443D5"/>
    <w:rsid w:val="390659FB"/>
    <w:rsid w:val="3A014C0D"/>
    <w:rsid w:val="3B6A356D"/>
    <w:rsid w:val="3BF1493F"/>
    <w:rsid w:val="3DBA5B08"/>
    <w:rsid w:val="3EA52FF6"/>
    <w:rsid w:val="3F2969DF"/>
    <w:rsid w:val="3F646DBC"/>
    <w:rsid w:val="403544BA"/>
    <w:rsid w:val="43001B9C"/>
    <w:rsid w:val="441404FD"/>
    <w:rsid w:val="44E0509A"/>
    <w:rsid w:val="45C94FEF"/>
    <w:rsid w:val="462D2409"/>
    <w:rsid w:val="47C1249E"/>
    <w:rsid w:val="481B4427"/>
    <w:rsid w:val="485756B9"/>
    <w:rsid w:val="48835154"/>
    <w:rsid w:val="4939003C"/>
    <w:rsid w:val="4A010EEA"/>
    <w:rsid w:val="4CFB5EE3"/>
    <w:rsid w:val="4D263AF9"/>
    <w:rsid w:val="4D4B074A"/>
    <w:rsid w:val="4D9D52DA"/>
    <w:rsid w:val="4FC205E1"/>
    <w:rsid w:val="502C74D1"/>
    <w:rsid w:val="507C6DB1"/>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E11CAD"/>
    <w:rsid w:val="5D0F5ABF"/>
    <w:rsid w:val="5DE021E2"/>
    <w:rsid w:val="5DFA5BF3"/>
    <w:rsid w:val="5E545B85"/>
    <w:rsid w:val="5F765DB0"/>
    <w:rsid w:val="622A6C63"/>
    <w:rsid w:val="62EF21DB"/>
    <w:rsid w:val="631D68AE"/>
    <w:rsid w:val="632D6F40"/>
    <w:rsid w:val="648E32AE"/>
    <w:rsid w:val="64A06B15"/>
    <w:rsid w:val="64A110CF"/>
    <w:rsid w:val="64D252BD"/>
    <w:rsid w:val="657F52AC"/>
    <w:rsid w:val="65D2279C"/>
    <w:rsid w:val="663A01C8"/>
    <w:rsid w:val="668B2466"/>
    <w:rsid w:val="66DB439B"/>
    <w:rsid w:val="66E003B2"/>
    <w:rsid w:val="6817729A"/>
    <w:rsid w:val="699E695C"/>
    <w:rsid w:val="69BF7E12"/>
    <w:rsid w:val="6B9C09D1"/>
    <w:rsid w:val="6C2E4C0D"/>
    <w:rsid w:val="6DA6798D"/>
    <w:rsid w:val="6DED4397"/>
    <w:rsid w:val="6F420D0F"/>
    <w:rsid w:val="701B5C41"/>
    <w:rsid w:val="71587B7E"/>
    <w:rsid w:val="7276222A"/>
    <w:rsid w:val="73344FDD"/>
    <w:rsid w:val="73616E39"/>
    <w:rsid w:val="73C0694D"/>
    <w:rsid w:val="74A54B7B"/>
    <w:rsid w:val="751B270C"/>
    <w:rsid w:val="768C17FB"/>
    <w:rsid w:val="77722493"/>
    <w:rsid w:val="79002FDD"/>
    <w:rsid w:val="7A2C2B5D"/>
    <w:rsid w:val="7A3C397B"/>
    <w:rsid w:val="7CBB28FC"/>
    <w:rsid w:val="7D2106AF"/>
    <w:rsid w:val="7D2D2186"/>
    <w:rsid w:val="7E54777A"/>
    <w:rsid w:val="7EE8612B"/>
    <w:rsid w:val="7EFE77F8"/>
    <w:rsid w:val="7F6041C6"/>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6">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50"/>
    <w:qFormat/>
    <w:uiPriority w:val="9"/>
    <w:pPr>
      <w:keepNext/>
      <w:keepLines/>
      <w:spacing w:before="260" w:after="260" w:line="416" w:lineRule="auto"/>
      <w:outlineLvl w:val="2"/>
    </w:pPr>
    <w:rPr>
      <w:b/>
      <w:bCs/>
      <w:sz w:val="32"/>
      <w:szCs w:val="32"/>
    </w:rPr>
  </w:style>
  <w:style w:type="paragraph" w:styleId="8">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9">
    <w:name w:val="heading 5"/>
    <w:basedOn w:val="1"/>
    <w:next w:val="1"/>
    <w:link w:val="52"/>
    <w:qFormat/>
    <w:uiPriority w:val="9"/>
    <w:pPr>
      <w:keepNext/>
      <w:keepLines/>
      <w:spacing w:before="280" w:after="290" w:line="376" w:lineRule="auto"/>
      <w:outlineLvl w:val="4"/>
    </w:pPr>
    <w:rPr>
      <w:b/>
      <w:bCs/>
      <w:szCs w:val="28"/>
    </w:rPr>
  </w:style>
  <w:style w:type="paragraph" w:styleId="10">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1">
    <w:name w:val="heading 7"/>
    <w:basedOn w:val="1"/>
    <w:next w:val="1"/>
    <w:link w:val="54"/>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customStyle="1" w:styleId="3">
    <w:name w:val="Default"/>
    <w:next w:val="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paragraph" w:styleId="4">
    <w:name w:val="toc 2"/>
    <w:basedOn w:val="1"/>
    <w:next w:val="1"/>
    <w:unhideWhenUsed/>
    <w:qFormat/>
    <w:uiPriority w:val="39"/>
    <w:pPr>
      <w:ind w:left="420" w:leftChars="200"/>
    </w:pPr>
  </w:style>
  <w:style w:type="paragraph" w:styleId="12">
    <w:name w:val="Normal Indent"/>
    <w:basedOn w:val="1"/>
    <w:qFormat/>
    <w:uiPriority w:val="0"/>
    <w:pPr>
      <w:ind w:firstLine="420"/>
    </w:pPr>
    <w:rPr>
      <w:rFonts w:ascii="Times New Roman" w:hAnsi="Times New Roman" w:cs="Times New Roman"/>
      <w:szCs w:val="20"/>
    </w:rPr>
  </w:style>
  <w:style w:type="paragraph" w:styleId="13">
    <w:name w:val="annotation text"/>
    <w:basedOn w:val="1"/>
    <w:qFormat/>
    <w:uiPriority w:val="0"/>
    <w:pPr>
      <w:jc w:val="left"/>
    </w:pPr>
    <w:rPr>
      <w:kern w:val="0"/>
      <w:sz w:val="21"/>
      <w:szCs w:val="21"/>
    </w:rPr>
  </w:style>
  <w:style w:type="paragraph" w:styleId="14">
    <w:name w:val="Body Text Indent"/>
    <w:basedOn w:val="1"/>
    <w:next w:val="15"/>
    <w:link w:val="47"/>
    <w:qFormat/>
    <w:uiPriority w:val="0"/>
    <w:pPr>
      <w:spacing w:line="200" w:lineRule="atLeast"/>
      <w:ind w:firstLine="301"/>
    </w:pPr>
    <w:rPr>
      <w:rFonts w:ascii="宋体" w:hAnsi="Courier New"/>
      <w:spacing w:val="-4"/>
      <w:kern w:val="0"/>
      <w:sz w:val="18"/>
    </w:rPr>
  </w:style>
  <w:style w:type="paragraph" w:styleId="15">
    <w:name w:val="envelope return"/>
    <w:basedOn w:val="1"/>
    <w:qFormat/>
    <w:uiPriority w:val="0"/>
    <w:pPr>
      <w:snapToGrid w:val="0"/>
    </w:pPr>
    <w:rPr>
      <w:rFonts w:ascii="Arial" w:hAnsi="Arial"/>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qFormat/>
    <w:uiPriority w:val="0"/>
    <w:pPr>
      <w:ind w:left="420" w:hanging="420"/>
    </w:pPr>
  </w:style>
  <w:style w:type="paragraph" w:styleId="23">
    <w:name w:val="index 7"/>
    <w:basedOn w:val="1"/>
    <w:next w:val="1"/>
    <w:unhideWhenUsed/>
    <w:qFormat/>
    <w:uiPriority w:val="99"/>
    <w:pPr>
      <w:ind w:left="1200" w:leftChars="1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4"/>
    <w:next w:val="22"/>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Hyperlink"/>
    <w:basedOn w:val="29"/>
    <w:unhideWhenUsed/>
    <w:qFormat/>
    <w:uiPriority w:val="99"/>
    <w:rPr>
      <w:color w:val="0000FF"/>
      <w:u w:val="single"/>
    </w:rPr>
  </w:style>
  <w:style w:type="paragraph" w:styleId="32">
    <w:name w:val="List Paragraph"/>
    <w:basedOn w:val="1"/>
    <w:link w:val="63"/>
    <w:qFormat/>
    <w:uiPriority w:val="0"/>
    <w:pPr>
      <w:ind w:firstLine="420" w:firstLineChars="200"/>
    </w:pPr>
    <w:rPr>
      <w:kern w:val="0"/>
    </w:rPr>
  </w:style>
  <w:style w:type="paragraph" w:customStyle="1" w:styleId="33">
    <w:name w:val="正文 第一章"/>
    <w:basedOn w:val="1"/>
    <w:next w:val="34"/>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0">
    <w:name w:val="第四级"/>
    <w:basedOn w:val="1"/>
    <w:next w:val="39"/>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标题 2 New"/>
    <w:basedOn w:val="43"/>
    <w:next w:val="43"/>
    <w:qFormat/>
    <w:uiPriority w:val="0"/>
    <w:pPr>
      <w:keepNext/>
      <w:keepLines/>
      <w:spacing w:before="260" w:after="260" w:line="413" w:lineRule="auto"/>
      <w:outlineLvl w:val="1"/>
    </w:pPr>
    <w:rPr>
      <w:rFonts w:ascii="Arial" w:hAnsi="Arial" w:eastAsia="黑体"/>
      <w:b/>
      <w:bCs/>
      <w:sz w:val="32"/>
      <w:szCs w:val="32"/>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Normal_0"/>
    <w:qFormat/>
    <w:uiPriority w:val="99"/>
    <w:rPr>
      <w:rFonts w:ascii="Calibri" w:hAnsi="Calibri" w:eastAsia="宋体" w:cs="Times New Roman"/>
      <w:sz w:val="24"/>
      <w:szCs w:val="24"/>
      <w:lang w:val="en-US" w:eastAsia="zh-CN" w:bidi="ar-SA"/>
    </w:rPr>
  </w:style>
  <w:style w:type="character" w:customStyle="1" w:styleId="47">
    <w:name w:val="正文文本缩进 Char"/>
    <w:link w:val="14"/>
    <w:qFormat/>
    <w:locked/>
    <w:uiPriority w:val="0"/>
    <w:rPr>
      <w:rFonts w:ascii="宋体" w:hAnsi="Courier New" w:eastAsia="宋体"/>
      <w:spacing w:val="-4"/>
      <w:sz w:val="18"/>
    </w:rPr>
  </w:style>
  <w:style w:type="character" w:customStyle="1" w:styleId="48">
    <w:name w:val="标题 1 Char"/>
    <w:basedOn w:val="29"/>
    <w:link w:val="5"/>
    <w:qFormat/>
    <w:uiPriority w:val="0"/>
    <w:rPr>
      <w:rFonts w:ascii="宋体" w:hAnsi="Arial" w:eastAsia="黑体" w:cs="Times New Roman"/>
      <w:b/>
      <w:bCs/>
      <w:color w:val="000000"/>
      <w:kern w:val="44"/>
      <w:sz w:val="36"/>
      <w:szCs w:val="32"/>
    </w:rPr>
  </w:style>
  <w:style w:type="character" w:customStyle="1" w:styleId="49">
    <w:name w:val="标题 2 Char"/>
    <w:basedOn w:val="29"/>
    <w:link w:val="6"/>
    <w:semiHidden/>
    <w:qFormat/>
    <w:uiPriority w:val="9"/>
    <w:rPr>
      <w:rFonts w:ascii="Cambria" w:hAnsi="Cambria" w:eastAsia="宋体" w:cs="Times New Roman"/>
      <w:b/>
      <w:bCs/>
      <w:sz w:val="32"/>
      <w:szCs w:val="32"/>
    </w:rPr>
  </w:style>
  <w:style w:type="character" w:customStyle="1" w:styleId="50">
    <w:name w:val="标题 3 Char1"/>
    <w:basedOn w:val="29"/>
    <w:link w:val="7"/>
    <w:semiHidden/>
    <w:qFormat/>
    <w:uiPriority w:val="9"/>
    <w:rPr>
      <w:rFonts w:ascii="Times New Roman" w:hAnsi="Times New Roman" w:eastAsia="宋体" w:cs="Times New Roman"/>
      <w:b/>
      <w:bCs/>
      <w:sz w:val="32"/>
      <w:szCs w:val="32"/>
    </w:rPr>
  </w:style>
  <w:style w:type="character" w:customStyle="1" w:styleId="51">
    <w:name w:val="标题 4 Char"/>
    <w:basedOn w:val="29"/>
    <w:link w:val="8"/>
    <w:semiHidden/>
    <w:qFormat/>
    <w:uiPriority w:val="9"/>
    <w:rPr>
      <w:rFonts w:ascii="Cambria" w:hAnsi="Cambria" w:eastAsia="宋体" w:cs="Times New Roman"/>
      <w:b/>
      <w:bCs/>
      <w:sz w:val="28"/>
      <w:szCs w:val="28"/>
    </w:rPr>
  </w:style>
  <w:style w:type="character" w:customStyle="1" w:styleId="52">
    <w:name w:val="标题 5 Char"/>
    <w:basedOn w:val="29"/>
    <w:link w:val="9"/>
    <w:semiHidden/>
    <w:qFormat/>
    <w:uiPriority w:val="9"/>
    <w:rPr>
      <w:rFonts w:ascii="Times New Roman" w:hAnsi="Times New Roman" w:eastAsia="宋体" w:cs="Times New Roman"/>
      <w:b/>
      <w:bCs/>
      <w:sz w:val="28"/>
      <w:szCs w:val="28"/>
    </w:rPr>
  </w:style>
  <w:style w:type="character" w:customStyle="1" w:styleId="53">
    <w:name w:val="标题 6 Char"/>
    <w:basedOn w:val="29"/>
    <w:link w:val="10"/>
    <w:semiHidden/>
    <w:qFormat/>
    <w:uiPriority w:val="9"/>
    <w:rPr>
      <w:rFonts w:ascii="Cambria" w:hAnsi="Cambria" w:eastAsia="宋体" w:cs="Times New Roman"/>
      <w:b/>
      <w:bCs/>
      <w:sz w:val="24"/>
      <w:szCs w:val="24"/>
    </w:rPr>
  </w:style>
  <w:style w:type="character" w:customStyle="1" w:styleId="54">
    <w:name w:val="标题 7 Char"/>
    <w:basedOn w:val="29"/>
    <w:link w:val="11"/>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9"/>
    <w:link w:val="17"/>
    <w:semiHidden/>
    <w:qFormat/>
    <w:uiPriority w:val="99"/>
    <w:rPr>
      <w:rFonts w:ascii="Times New Roman" w:hAnsi="Times New Roman" w:eastAsia="宋体" w:cs="Times New Roman"/>
      <w:sz w:val="28"/>
      <w:szCs w:val="20"/>
    </w:rPr>
  </w:style>
  <w:style w:type="character" w:customStyle="1" w:styleId="57">
    <w:name w:val="批注框文本 Char"/>
    <w:basedOn w:val="29"/>
    <w:link w:val="18"/>
    <w:semiHidden/>
    <w:qFormat/>
    <w:uiPriority w:val="99"/>
    <w:rPr>
      <w:rFonts w:ascii="Times New Roman" w:hAnsi="Times New Roman" w:eastAsia="宋体" w:cs="Times New Roman"/>
      <w:sz w:val="18"/>
      <w:szCs w:val="18"/>
    </w:rPr>
  </w:style>
  <w:style w:type="character" w:customStyle="1" w:styleId="58">
    <w:name w:val="页脚 Char"/>
    <w:basedOn w:val="29"/>
    <w:link w:val="19"/>
    <w:qFormat/>
    <w:uiPriority w:val="99"/>
    <w:rPr>
      <w:rFonts w:ascii="Times New Roman" w:hAnsi="Times New Roman" w:eastAsia="宋体" w:cs="Times New Roman"/>
      <w:sz w:val="18"/>
      <w:szCs w:val="18"/>
    </w:rPr>
  </w:style>
  <w:style w:type="character" w:customStyle="1" w:styleId="59">
    <w:name w:val="页眉 Char"/>
    <w:basedOn w:val="29"/>
    <w:link w:val="20"/>
    <w:semiHidden/>
    <w:qFormat/>
    <w:uiPriority w:val="99"/>
    <w:rPr>
      <w:rFonts w:ascii="Times New Roman" w:hAnsi="Times New Roman" w:eastAsia="宋体" w:cs="Times New Roman"/>
      <w:sz w:val="18"/>
      <w:szCs w:val="18"/>
    </w:rPr>
  </w:style>
  <w:style w:type="character" w:customStyle="1" w:styleId="60">
    <w:name w:val="标题 Char"/>
    <w:basedOn w:val="29"/>
    <w:link w:val="25"/>
    <w:qFormat/>
    <w:uiPriority w:val="10"/>
    <w:rPr>
      <w:rFonts w:ascii="Cambria" w:hAnsi="Cambria" w:eastAsia="宋体" w:cs="Times New Roman"/>
      <w:b/>
      <w:bCs/>
      <w:sz w:val="32"/>
      <w:szCs w:val="32"/>
    </w:rPr>
  </w:style>
  <w:style w:type="character" w:customStyle="1" w:styleId="61">
    <w:name w:val="正文文本缩进 Char1"/>
    <w:basedOn w:val="29"/>
    <w:semiHidden/>
    <w:qFormat/>
    <w:uiPriority w:val="99"/>
    <w:rPr>
      <w:rFonts w:ascii="Times New Roman" w:hAnsi="Times New Roman" w:eastAsia="宋体" w:cs="Times New Roman"/>
      <w:sz w:val="28"/>
      <w:szCs w:val="20"/>
    </w:rPr>
  </w:style>
  <w:style w:type="character" w:customStyle="1" w:styleId="62">
    <w:name w:val="纯文本 Char"/>
    <w:basedOn w:val="29"/>
    <w:semiHidden/>
    <w:qFormat/>
    <w:uiPriority w:val="99"/>
    <w:rPr>
      <w:rFonts w:ascii="宋体" w:hAnsi="Courier New" w:eastAsia="宋体" w:cs="Courier New"/>
      <w:szCs w:val="21"/>
    </w:rPr>
  </w:style>
  <w:style w:type="character" w:customStyle="1" w:styleId="63">
    <w:name w:val="列出段落 Char"/>
    <w:link w:val="32"/>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47</Pages>
  <Words>17727</Words>
  <Characters>18290</Characters>
  <Lines>158</Lines>
  <Paragraphs>44</Paragraphs>
  <TotalTime>7</TotalTime>
  <ScaleCrop>false</ScaleCrop>
  <LinksUpToDate>false</LinksUpToDate>
  <CharactersWithSpaces>21289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2022-06-30T03:23:43Z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EC2D55065EE9410B8AC07D03BAF4E20B</vt:lpwstr>
  </property>
</Properties>
</file>