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2077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lang w:eastAsia="zh-CN"/>
        </w:rPr>
        <w:t>皖南医学院2022-2025年能源监管平台和学生公寓水电管理系统维保服务项目</w:t>
      </w:r>
      <w:bookmarkStart w:id="155" w:name="_GoBack"/>
      <w:bookmarkEnd w:id="155"/>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10"/>
        <w:rPr>
          <w:rFonts w:ascii="仿宋_GB2312" w:eastAsia="仿宋_GB2312"/>
          <w:sz w:val="44"/>
          <w:szCs w:val="44"/>
        </w:rPr>
      </w:pPr>
    </w:p>
    <w:p>
      <w:pPr>
        <w:pStyle w:val="10"/>
        <w:rPr>
          <w:rFonts w:ascii="仿宋_GB2312" w:eastAsia="仿宋_GB2312"/>
          <w:sz w:val="44"/>
          <w:szCs w:val="44"/>
        </w:rPr>
      </w:pPr>
    </w:p>
    <w:p>
      <w:pPr>
        <w:pStyle w:val="1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8</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9"/>
      </w:pPr>
      <w:r>
        <w:rPr>
          <w:rFonts w:hint="eastAsia"/>
        </w:rPr>
        <w:t>目  录</w:t>
      </w:r>
    </w:p>
    <w:p>
      <w:pPr>
        <w:pStyle w:val="19"/>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9"/>
          </w:pPr>
        </w:p>
        <w:p>
          <w:pPr>
            <w:pStyle w:val="19"/>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9"/>
              <w:rFonts w:hint="eastAsia"/>
              <w:b w:val="0"/>
              <w:sz w:val="28"/>
              <w:szCs w:val="28"/>
            </w:rPr>
            <w:t>第一章</w:t>
          </w:r>
          <w:r>
            <w:rPr>
              <w:rStyle w:val="29"/>
              <w:b w:val="0"/>
              <w:sz w:val="28"/>
              <w:szCs w:val="28"/>
            </w:rPr>
            <w:t xml:space="preserve">  </w:t>
          </w:r>
          <w:r>
            <w:rPr>
              <w:rStyle w:val="29"/>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9"/>
              <w:rFonts w:hint="eastAsia"/>
              <w:b w:val="0"/>
              <w:sz w:val="28"/>
              <w:szCs w:val="28"/>
            </w:rPr>
            <w:t>第二章</w:t>
          </w:r>
          <w:r>
            <w:rPr>
              <w:rStyle w:val="29"/>
              <w:b w:val="0"/>
              <w:sz w:val="28"/>
              <w:szCs w:val="28"/>
            </w:rPr>
            <w:t xml:space="preserve">  </w:t>
          </w:r>
          <w:r>
            <w:rPr>
              <w:rStyle w:val="29"/>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9"/>
              <w:rFonts w:hint="eastAsia"/>
              <w:b w:val="0"/>
              <w:sz w:val="28"/>
              <w:szCs w:val="28"/>
            </w:rPr>
            <w:t>第三章</w:t>
          </w:r>
          <w:r>
            <w:rPr>
              <w:rStyle w:val="29"/>
              <w:b w:val="0"/>
              <w:sz w:val="28"/>
              <w:szCs w:val="28"/>
            </w:rPr>
            <w:t xml:space="preserve">  </w:t>
          </w:r>
          <w:r>
            <w:rPr>
              <w:rStyle w:val="29"/>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9"/>
              <w:rFonts w:hint="eastAsia"/>
              <w:b w:val="0"/>
              <w:sz w:val="28"/>
              <w:szCs w:val="28"/>
            </w:rPr>
            <w:t>第四章</w:t>
          </w:r>
          <w:r>
            <w:rPr>
              <w:rStyle w:val="29"/>
              <w:b w:val="0"/>
              <w:sz w:val="28"/>
              <w:szCs w:val="28"/>
            </w:rPr>
            <w:t xml:space="preserve">  </w:t>
          </w:r>
          <w:r>
            <w:rPr>
              <w:rStyle w:val="29"/>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9"/>
              <w:rFonts w:hint="eastAsia"/>
              <w:b w:val="0"/>
              <w:sz w:val="28"/>
              <w:szCs w:val="28"/>
            </w:rPr>
            <w:t>第五章</w:t>
          </w:r>
          <w:r>
            <w:rPr>
              <w:rStyle w:val="29"/>
              <w:b w:val="0"/>
              <w:sz w:val="28"/>
              <w:szCs w:val="28"/>
            </w:rPr>
            <w:t xml:space="preserve">  </w:t>
          </w:r>
          <w:r>
            <w:rPr>
              <w:rStyle w:val="29"/>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9"/>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9"/>
              <w:rFonts w:hint="eastAsia"/>
              <w:b w:val="0"/>
              <w:sz w:val="28"/>
              <w:szCs w:val="28"/>
            </w:rPr>
            <w:t>第六章</w:t>
          </w:r>
          <w:r>
            <w:rPr>
              <w:rStyle w:val="29"/>
              <w:b w:val="0"/>
              <w:sz w:val="28"/>
              <w:szCs w:val="28"/>
            </w:rPr>
            <w:t xml:space="preserve">  </w:t>
          </w:r>
          <w:r>
            <w:rPr>
              <w:rStyle w:val="29"/>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9"/>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9"/>
              <w:rFonts w:hint="eastAsia"/>
              <w:b w:val="0"/>
              <w:sz w:val="28"/>
              <w:szCs w:val="28"/>
            </w:rPr>
            <w:t>第七章</w:t>
          </w:r>
          <w:r>
            <w:rPr>
              <w:rStyle w:val="29"/>
              <w:b w:val="0"/>
              <w:sz w:val="28"/>
              <w:szCs w:val="28"/>
            </w:rPr>
            <w:t xml:space="preserve">  </w:t>
          </w:r>
          <w:r>
            <w:rPr>
              <w:rStyle w:val="29"/>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皖南医学院2022-2025年能源监管平台和学生公寓水电管理系统维保服务项目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（一）项目名称：2022-2025年能源监管平台和学生公寓水电管理系统维保服务项目；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2077</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19.8</w:t>
      </w:r>
      <w:r>
        <w:rPr>
          <w:rFonts w:hint="eastAsia" w:ascii="仿宋_GB2312" w:eastAsia="仿宋_GB2312"/>
          <w:szCs w:val="28"/>
        </w:rPr>
        <w:t>万元</w:t>
      </w:r>
      <w:r>
        <w:rPr>
          <w:rFonts w:hint="eastAsia" w:ascii="仿宋_GB2312" w:eastAsia="仿宋_GB2312"/>
          <w:szCs w:val="28"/>
          <w:lang w:val="en-US" w:eastAsia="zh-CN"/>
        </w:rPr>
        <w:t>/年</w:t>
      </w:r>
      <w:r>
        <w:rPr>
          <w:rFonts w:hint="eastAsia" w:ascii="仿宋_GB2312" w:eastAsia="仿宋_GB2312"/>
          <w:szCs w:val="28"/>
        </w:rPr>
        <w:t>；</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8</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30</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2</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9</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（二）报名方式：皖南医学院2022-2025年能源监管平台和学生公寓水电管理系统维保服务项目已在皖南医学院网上采购平台（http://wnmc.youzhicai.com/）发布，请潜在供应商在皖南医学院网上采购平台参与项目报名。</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13</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13</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hint="eastAsia"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pStyle w:val="13"/>
        <w:ind w:left="0" w:leftChars="0" w:firstLine="560" w:firstLineChars="200"/>
      </w:pPr>
      <w:r>
        <w:rPr>
          <w:rFonts w:hint="eastAsia" w:hAnsi="仿宋_GB2312" w:cs="仿宋_GB2312"/>
          <w:i w:val="0"/>
          <w:iCs w:val="0"/>
          <w:caps w:val="0"/>
          <w:color w:val="333333"/>
          <w:spacing w:val="0"/>
          <w:sz w:val="28"/>
          <w:szCs w:val="28"/>
          <w:shd w:val="clear" w:fill="FFFFFF"/>
          <w:lang w:eastAsia="zh-CN"/>
        </w:rPr>
        <w:t>（</w:t>
      </w:r>
      <w:r>
        <w:rPr>
          <w:rFonts w:hint="eastAsia" w:hAnsi="仿宋_GB2312" w:cs="仿宋_GB2312"/>
          <w:i w:val="0"/>
          <w:iCs w:val="0"/>
          <w:caps w:val="0"/>
          <w:color w:val="333333"/>
          <w:spacing w:val="0"/>
          <w:sz w:val="28"/>
          <w:szCs w:val="28"/>
          <w:shd w:val="clear" w:fill="FFFFFF"/>
          <w:lang w:val="en-US" w:eastAsia="zh-CN"/>
        </w:rPr>
        <w:t>五</w:t>
      </w:r>
      <w:r>
        <w:rPr>
          <w:rFonts w:hint="eastAsia" w:hAnsi="仿宋_GB2312" w:cs="仿宋_GB2312"/>
          <w:i w:val="0"/>
          <w:iCs w:val="0"/>
          <w:caps w:val="0"/>
          <w:color w:val="333333"/>
          <w:spacing w:val="0"/>
          <w:sz w:val="28"/>
          <w:szCs w:val="28"/>
          <w:shd w:val="clear" w:fill="FFFFFF"/>
          <w:lang w:eastAsia="zh-CN"/>
        </w:rPr>
        <w:t>）</w:t>
      </w:r>
      <w:r>
        <w:rPr>
          <w:rFonts w:ascii="仿宋_GB2312" w:hAnsi="仿宋_GB2312" w:eastAsia="仿宋_GB2312" w:cs="仿宋_GB2312"/>
          <w:i w:val="0"/>
          <w:iCs w:val="0"/>
          <w:caps w:val="0"/>
          <w:color w:val="333333"/>
          <w:spacing w:val="0"/>
          <w:sz w:val="28"/>
          <w:szCs w:val="28"/>
          <w:shd w:val="clear" w:fill="FFFFFF"/>
        </w:rPr>
        <w:t>因疫情防控需要，各潜在投标单位需填写附件</w:t>
      </w:r>
      <w:r>
        <w:rPr>
          <w:rFonts w:hint="eastAsia" w:ascii="仿宋_GB2312" w:hAnsi="仿宋_GB2312" w:eastAsia="仿宋_GB2312" w:cs="仿宋_GB2312"/>
          <w:i w:val="0"/>
          <w:iCs w:val="0"/>
          <w:caps w:val="0"/>
          <w:color w:val="333333"/>
          <w:spacing w:val="0"/>
          <w:sz w:val="28"/>
          <w:szCs w:val="28"/>
          <w:shd w:val="clear" w:fill="FFFFFF"/>
        </w:rPr>
        <w:t>（校外人员入校申请表）Pdf版扫描发送至邮箱842807551@qq.com.如未填写导致不能及时参与项目开标，视为自动放弃本次项目投标。</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2</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8</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30</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4"/>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皖南医学院2022-2025年能源监管平台和学生公寓水电管理系统维保服务项目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8</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9</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4000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Pr>
        <w:pStyle w:val="10"/>
      </w:pPr>
    </w:p>
    <w:p>
      <w:pPr>
        <w:pStyle w:val="10"/>
      </w:pPr>
    </w:p>
    <w:p>
      <w:pPr>
        <w:pStyle w:val="10"/>
      </w:pPr>
    </w:p>
    <w:p>
      <w:pPr>
        <w:pStyle w:val="10"/>
        <w:ind w:left="0" w:leftChars="0" w:firstLine="0" w:firstLineChars="0"/>
      </w:pPr>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20823276"/>
      <w:bookmarkStart w:id="11" w:name="_Toc16938520"/>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16938521"/>
      <w:bookmarkStart w:id="13" w:name="_Toc20823277"/>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7"/>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20823278"/>
      <w:bookmarkStart w:id="17" w:name="_Toc16938522"/>
      <w:r>
        <w:rPr>
          <w:rFonts w:hint="eastAsia" w:ascii="仿宋_GB2312" w:eastAsia="仿宋_GB2312"/>
          <w:color w:val="000000"/>
          <w:szCs w:val="28"/>
        </w:rPr>
        <w:t>4.适用法律</w:t>
      </w:r>
      <w:bookmarkEnd w:id="15"/>
      <w:bookmarkEnd w:id="16"/>
      <w:bookmarkEnd w:id="17"/>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20823279"/>
      <w:bookmarkStart w:id="19" w:name="_Toc462564067"/>
      <w:bookmarkStart w:id="20" w:name="_Toc513029207"/>
      <w:bookmarkStart w:id="21" w:name="_Toc16938523"/>
      <w:r>
        <w:rPr>
          <w:rFonts w:hint="eastAsia" w:ascii="仿宋_GB2312" w:eastAsia="仿宋_GB2312"/>
          <w:color w:val="000000"/>
          <w:szCs w:val="28"/>
        </w:rPr>
        <w:t>5.磋商费用</w:t>
      </w:r>
      <w:bookmarkEnd w:id="18"/>
      <w:bookmarkEnd w:id="19"/>
      <w:bookmarkEnd w:id="20"/>
      <w:bookmarkEnd w:id="21"/>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16938525"/>
      <w:bookmarkStart w:id="25" w:name="_Toc403987206"/>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513029210"/>
      <w:bookmarkStart w:id="29" w:name="_Toc20823282"/>
      <w:r>
        <w:rPr>
          <w:rFonts w:hint="eastAsia" w:ascii="仿宋_GB2312" w:eastAsia="仿宋_GB2312"/>
          <w:color w:val="000000"/>
          <w:szCs w:val="28"/>
        </w:rPr>
        <w:t>1.磋商文件构成</w:t>
      </w:r>
      <w:bookmarkEnd w:id="27"/>
      <w:bookmarkEnd w:id="28"/>
      <w:bookmarkEnd w:id="29"/>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16938527"/>
      <w:bookmarkStart w:id="31" w:name="_Toc462564070"/>
      <w:bookmarkStart w:id="32" w:name="_Toc513029211"/>
      <w:bookmarkStart w:id="33" w:name="_Toc20823283"/>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513029213"/>
      <w:bookmarkStart w:id="36" w:name="_Toc20823285"/>
      <w:bookmarkStart w:id="37" w:name="_Toc403987207"/>
      <w:bookmarkStart w:id="38" w:name="_Toc120614216"/>
      <w:bookmarkStart w:id="39" w:name="_Toc462564072"/>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513029214"/>
      <w:bookmarkStart w:id="43" w:name="_Toc20823286"/>
      <w:bookmarkStart w:id="44" w:name="_Toc16938530"/>
      <w:r>
        <w:rPr>
          <w:rFonts w:hint="eastAsia" w:ascii="仿宋_GB2312" w:eastAsia="仿宋_GB2312"/>
          <w:color w:val="000000"/>
          <w:szCs w:val="28"/>
        </w:rPr>
        <w:t>3.响应文件的语言及度量衡单位</w:t>
      </w:r>
      <w:bookmarkEnd w:id="41"/>
      <w:bookmarkEnd w:id="42"/>
      <w:bookmarkEnd w:id="43"/>
      <w:bookmarkEnd w:id="44"/>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16938531"/>
      <w:bookmarkStart w:id="46" w:name="_Toc513029215"/>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7"/>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14577354"/>
      <w:bookmarkStart w:id="56" w:name="_Toc513029216"/>
      <w:bookmarkStart w:id="57" w:name="_Toc49090507"/>
      <w:r>
        <w:rPr>
          <w:rFonts w:hint="eastAsia" w:ascii="仿宋_GB2312" w:eastAsia="仿宋_GB2312"/>
          <w:color w:val="000000"/>
          <w:szCs w:val="28"/>
        </w:rPr>
        <w:t>5.证明供应商资格及符合磋商文件规定的文件</w:t>
      </w:r>
      <w:bookmarkEnd w:id="52"/>
      <w:bookmarkEnd w:id="53"/>
      <w:bookmarkEnd w:id="54"/>
    </w:p>
    <w:p>
      <w:pPr>
        <w:pStyle w:val="37"/>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7"/>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52"/>
      <w:bookmarkEnd w:id="63"/>
      <w:bookmarkStart w:id="64" w:name="_Hlt26954739"/>
      <w:bookmarkEnd w:id="64"/>
      <w:bookmarkStart w:id="65" w:name="_Hlt26670482"/>
      <w:bookmarkEnd w:id="65"/>
      <w:bookmarkStart w:id="66" w:name="_Hlt26954731"/>
      <w:bookmarkEnd w:id="66"/>
      <w:bookmarkStart w:id="67" w:name="_Hlt26954848"/>
      <w:bookmarkEnd w:id="67"/>
      <w:bookmarkStart w:id="68" w:name="_Hlt26670486"/>
      <w:bookmarkEnd w:id="68"/>
      <w:bookmarkStart w:id="69" w:name="_Hlt26954846"/>
      <w:bookmarkEnd w:id="69"/>
      <w:bookmarkStart w:id="70" w:name="_Toc14577361"/>
      <w:bookmarkStart w:id="71" w:name="_Toc49090512"/>
      <w:r>
        <w:rPr>
          <w:rFonts w:hint="eastAsia" w:ascii="仿宋_GB2312" w:eastAsia="仿宋_GB2312"/>
          <w:color w:val="000000"/>
          <w:szCs w:val="28"/>
          <w:lang w:val="en-US" w:eastAsia="zh-CN"/>
        </w:rPr>
        <w:t>8</w:t>
      </w:r>
      <w:r>
        <w:rPr>
          <w:rFonts w:hint="eastAsia" w:ascii="仿宋_GB2312" w:eastAsia="仿宋_GB2312"/>
          <w:color w:val="000000"/>
          <w:szCs w:val="28"/>
        </w:rPr>
        <w:t>.响应文件份数和签署</w:t>
      </w:r>
      <w:bookmarkEnd w:id="70"/>
      <w:bookmarkEnd w:id="71"/>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2" w:name="_Toc20823296"/>
      <w:bookmarkStart w:id="73" w:name="_Toc513029224"/>
      <w:bookmarkStart w:id="74" w:name="_Toc120614217"/>
      <w:bookmarkStart w:id="75" w:name="_Toc403987208"/>
      <w:bookmarkStart w:id="76" w:name="_Toc16938540"/>
      <w:r>
        <w:rPr>
          <w:rFonts w:hint="eastAsia" w:ascii="仿宋_GB2312" w:hAnsi="宋体" w:eastAsia="仿宋_GB2312"/>
          <w:b/>
          <w:color w:val="000000"/>
          <w:szCs w:val="28"/>
        </w:rPr>
        <w:t>四、响应文件的递交</w:t>
      </w:r>
      <w:bookmarkEnd w:id="72"/>
      <w:bookmarkEnd w:id="73"/>
      <w:bookmarkEnd w:id="74"/>
      <w:bookmarkEnd w:id="75"/>
      <w:bookmarkEnd w:id="76"/>
    </w:p>
    <w:p>
      <w:pPr>
        <w:adjustRightInd w:val="0"/>
        <w:snapToGrid w:val="0"/>
        <w:spacing w:line="500" w:lineRule="exact"/>
        <w:ind w:firstLine="560" w:firstLineChars="200"/>
        <w:rPr>
          <w:rFonts w:ascii="仿宋_GB2312" w:eastAsia="仿宋_GB2312"/>
          <w:color w:val="000000"/>
          <w:szCs w:val="28"/>
        </w:rPr>
      </w:pPr>
      <w:bookmarkStart w:id="77" w:name="_Toc462564084"/>
      <w:bookmarkStart w:id="78" w:name="_Toc20823297"/>
      <w:bookmarkStart w:id="79" w:name="_Toc513029225"/>
      <w:bookmarkStart w:id="80" w:name="_Toc16938541"/>
      <w:r>
        <w:rPr>
          <w:rFonts w:hint="eastAsia" w:ascii="仿宋_GB2312" w:eastAsia="仿宋_GB2312"/>
          <w:color w:val="000000"/>
          <w:szCs w:val="28"/>
        </w:rPr>
        <w:t>1.响应文件的密封和标记</w:t>
      </w:r>
      <w:bookmarkEnd w:id="77"/>
      <w:bookmarkEnd w:id="78"/>
      <w:bookmarkEnd w:id="79"/>
      <w:bookmarkEnd w:id="80"/>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1" w:name="_Toc16938542"/>
      <w:bookmarkStart w:id="82" w:name="_Toc513029226"/>
      <w:bookmarkStart w:id="83" w:name="_Toc20823298"/>
      <w:r>
        <w:rPr>
          <w:rFonts w:hint="eastAsia" w:ascii="仿宋_GB2312" w:eastAsia="仿宋_GB2312"/>
          <w:color w:val="000000"/>
          <w:szCs w:val="28"/>
        </w:rPr>
        <w:t>2.响应文件提交截止</w:t>
      </w:r>
      <w:bookmarkEnd w:id="81"/>
      <w:bookmarkEnd w:id="82"/>
      <w:bookmarkEnd w:id="83"/>
      <w:r>
        <w:rPr>
          <w:rFonts w:hint="eastAsia" w:ascii="仿宋_GB2312" w:eastAsia="仿宋_GB2312"/>
          <w:color w:val="000000"/>
          <w:szCs w:val="28"/>
        </w:rPr>
        <w:t>时间</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（2）磋商仪式由采购人代表主持，采购人代表、供应商代表以及有关工作人员参加。</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w:t>
      </w:r>
      <w:r>
        <w:rPr>
          <w:rFonts w:hint="eastAsia" w:ascii="仿宋_GB2312" w:hAnsi="宋体" w:eastAsia="仿宋_GB2312"/>
          <w:color w:val="000000"/>
          <w:szCs w:val="28"/>
          <w:lang w:val="en-US" w:eastAsia="zh-CN"/>
        </w:rPr>
        <w:t>工作</w:t>
      </w:r>
      <w:r>
        <w:rPr>
          <w:rFonts w:hint="eastAsia" w:ascii="仿宋_GB2312" w:hAnsi="宋体" w:eastAsia="仿宋_GB2312"/>
          <w:color w:val="000000"/>
          <w:szCs w:val="28"/>
        </w:rPr>
        <w:t>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84" w:name="_Toc513029231"/>
      <w:bookmarkStart w:id="85" w:name="_Toc20823303"/>
      <w:bookmarkStart w:id="86" w:name="_Toc16938547"/>
      <w:r>
        <w:rPr>
          <w:rFonts w:hint="eastAsia" w:ascii="仿宋_GB2312" w:eastAsia="仿宋_GB2312"/>
          <w:color w:val="000000"/>
          <w:szCs w:val="28"/>
        </w:rPr>
        <w:t>2.磋商小组</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84"/>
    <w:bookmarkEnd w:id="85"/>
    <w:bookmarkEnd w:id="86"/>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87" w:name="_Toc513029232"/>
      <w:bookmarkStart w:id="88" w:name="_Toc20823304"/>
      <w:bookmarkStart w:id="89" w:name="_Toc16938548"/>
      <w:r>
        <w:rPr>
          <w:rFonts w:hint="eastAsia" w:ascii="仿宋_GB2312" w:eastAsia="仿宋_GB2312"/>
          <w:color w:val="000000"/>
          <w:szCs w:val="28"/>
        </w:rPr>
        <w:t>4.供应商澄清</w:t>
      </w:r>
      <w:bookmarkEnd w:id="87"/>
      <w:bookmarkEnd w:id="88"/>
      <w:bookmarkEnd w:id="89"/>
    </w:p>
    <w:p>
      <w:pPr>
        <w:adjustRightInd w:val="0"/>
        <w:snapToGrid w:val="0"/>
        <w:spacing w:line="500" w:lineRule="exact"/>
        <w:ind w:firstLine="560" w:firstLineChars="200"/>
        <w:rPr>
          <w:rFonts w:ascii="仿宋_GB2312" w:eastAsia="仿宋_GB2312"/>
          <w:color w:val="000000"/>
          <w:szCs w:val="28"/>
        </w:rPr>
      </w:pPr>
      <w:bookmarkStart w:id="90" w:name="_Toc16938549"/>
      <w:bookmarkStart w:id="91" w:name="_Toc513029233"/>
      <w:bookmarkStart w:id="92" w:name="_Toc20823305"/>
      <w:r>
        <w:rPr>
          <w:rFonts w:hint="eastAsia" w:ascii="仿宋_GB2312" w:eastAsia="仿宋_GB2312"/>
          <w:color w:val="000000"/>
          <w:szCs w:val="28"/>
        </w:rPr>
        <w:t>（1）磋商小组要求供应商澄清、说明或者更正响应文件将以书面形式作出。</w:t>
      </w:r>
    </w:p>
    <w:bookmarkEnd w:id="90"/>
    <w:bookmarkEnd w:id="91"/>
    <w:bookmarkEnd w:id="92"/>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93" w:name="_Toc20823307"/>
      <w:bookmarkStart w:id="94" w:name="_Toc513029235"/>
      <w:bookmarkStart w:id="95" w:name="_Toc16938551"/>
      <w:r>
        <w:rPr>
          <w:rFonts w:hint="eastAsia" w:ascii="仿宋_GB2312" w:hAnsi="宋体" w:eastAsia="仿宋_GB2312"/>
          <w:color w:val="000000"/>
          <w:szCs w:val="28"/>
        </w:rPr>
        <w:t>响应无效条款</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1</w:t>
      </w:r>
      <w:r>
        <w:rPr>
          <w:rFonts w:hint="eastAsia" w:ascii="仿宋_GB2312" w:hAnsi="宋体" w:eastAsia="仿宋_GB2312"/>
          <w:color w:val="000000"/>
          <w:szCs w:val="28"/>
        </w:rPr>
        <w:t>）未按照磋商文件规定要求密封、签署、盖章的；</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2</w:t>
      </w:r>
      <w:r>
        <w:rPr>
          <w:rFonts w:hint="eastAsia" w:ascii="仿宋_GB2312" w:hAnsi="宋体" w:eastAsia="仿宋_GB2312"/>
          <w:color w:val="000000"/>
          <w:szCs w:val="28"/>
        </w:rPr>
        <w:t>）供应商不具备磋商文件中规定资格条件的；</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3</w:t>
      </w:r>
      <w:r>
        <w:rPr>
          <w:rFonts w:hint="eastAsia" w:ascii="仿宋_GB2312" w:hAnsi="宋体" w:eastAsia="仿宋_GB2312"/>
          <w:color w:val="000000"/>
          <w:szCs w:val="28"/>
        </w:rPr>
        <w:t>）不符合法律、法规和磋商文件中规定的其他实质性要求的；</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4</w:t>
      </w:r>
      <w:r>
        <w:rPr>
          <w:rFonts w:hint="eastAsia" w:ascii="仿宋_GB2312" w:hAnsi="宋体" w:eastAsia="仿宋_GB2312"/>
          <w:color w:val="000000"/>
          <w:szCs w:val="28"/>
        </w:rPr>
        <w:t>）其他法律、法规及本磋商文件规定的属响应无效的情形。</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8"/>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93"/>
    <w:bookmarkEnd w:id="94"/>
    <w:bookmarkEnd w:id="95"/>
    <w:p>
      <w:pPr>
        <w:adjustRightInd w:val="0"/>
        <w:snapToGrid w:val="0"/>
        <w:spacing w:line="500" w:lineRule="exact"/>
        <w:ind w:firstLine="560" w:firstLineChars="200"/>
        <w:rPr>
          <w:rFonts w:ascii="仿宋_GB2312" w:eastAsia="仿宋_GB2312"/>
          <w:color w:val="000000"/>
          <w:szCs w:val="28"/>
        </w:rPr>
      </w:pPr>
      <w:bookmarkStart w:id="96" w:name="_Toc20823310"/>
      <w:bookmarkStart w:id="97" w:name="_Toc16938554"/>
      <w:r>
        <w:rPr>
          <w:rFonts w:hint="eastAsia" w:ascii="仿宋_GB2312" w:eastAsia="仿宋_GB2312"/>
          <w:color w:val="000000"/>
          <w:szCs w:val="28"/>
        </w:rPr>
        <w:t>8.确定</w:t>
      </w:r>
      <w:bookmarkEnd w:id="96"/>
      <w:bookmarkEnd w:id="97"/>
      <w:r>
        <w:rPr>
          <w:rFonts w:hint="eastAsia" w:ascii="仿宋_GB2312" w:eastAsia="仿宋_GB2312"/>
          <w:color w:val="000000"/>
          <w:szCs w:val="28"/>
        </w:rPr>
        <w:t>成交供应商</w:t>
      </w:r>
    </w:p>
    <w:p>
      <w:pPr>
        <w:pStyle w:val="37"/>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w:t>
      </w:r>
      <w:r>
        <w:rPr>
          <w:rFonts w:hint="eastAsia" w:ascii="仿宋_GB2312" w:hAnsi="宋体" w:eastAsia="仿宋_GB2312"/>
          <w:color w:val="000000"/>
          <w:szCs w:val="28"/>
          <w:lang w:val="en-US" w:eastAsia="zh-CN"/>
        </w:rPr>
        <w:t>2</w:t>
      </w:r>
      <w:r>
        <w:rPr>
          <w:rFonts w:hint="eastAsia" w:ascii="仿宋_GB2312" w:hAnsi="宋体" w:eastAsia="仿宋_GB2312"/>
          <w:color w:val="000000"/>
          <w:szCs w:val="28"/>
        </w:rPr>
        <w:t>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98" w:name="_Toc403987211"/>
      <w:bookmarkStart w:id="99" w:name="_Toc120614220"/>
      <w:bookmarkStart w:id="100" w:name="_Toc16938552"/>
      <w:bookmarkStart w:id="101" w:name="_Toc513029236"/>
      <w:bookmarkStart w:id="102" w:name="_Toc20823308"/>
      <w:r>
        <w:rPr>
          <w:rFonts w:hint="eastAsia" w:ascii="仿宋_GB2312" w:hAnsi="宋体" w:eastAsia="仿宋_GB2312"/>
          <w:b/>
          <w:color w:val="000000"/>
          <w:szCs w:val="28"/>
        </w:rPr>
        <w:t>六、授予合同</w:t>
      </w:r>
      <w:bookmarkEnd w:id="98"/>
      <w:bookmarkEnd w:id="99"/>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513029237"/>
      <w:bookmarkStart w:id="104" w:name="_Toc20823309"/>
      <w:bookmarkStart w:id="105" w:name="_Toc16938553"/>
      <w:r>
        <w:rPr>
          <w:rFonts w:hint="eastAsia" w:ascii="仿宋_GB2312" w:eastAsia="仿宋_GB2312"/>
          <w:color w:val="000000"/>
          <w:szCs w:val="28"/>
        </w:rPr>
        <w:t>1.签订合同</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7"/>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06" w:name="_Toc200451963"/>
      <w:r>
        <w:rPr>
          <w:rFonts w:hint="eastAsia" w:ascii="仿宋_GB2312" w:hAnsi="宋体" w:eastAsia="仿宋_GB2312"/>
          <w:color w:val="000000"/>
          <w:szCs w:val="28"/>
        </w:rPr>
        <w:t>，不足的在中标公示结束后3日内补齐。</w:t>
      </w:r>
    </w:p>
    <w:bookmarkEnd w:id="106"/>
    <w:p>
      <w:pPr>
        <w:pStyle w:val="37"/>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03"/>
      <w:bookmarkEnd w:id="104"/>
      <w:bookmarkEnd w:id="105"/>
    </w:p>
    <w:p>
      <w:pPr>
        <w:pStyle w:val="37"/>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7"/>
        <w:snapToGrid w:val="0"/>
        <w:ind w:right="280" w:rightChars="100" w:firstLine="560"/>
        <w:rPr>
          <w:rFonts w:ascii="仿宋_GB2312" w:hAnsi="宋体" w:eastAsia="仿宋_GB2312"/>
          <w:bCs/>
          <w:color w:val="000000"/>
          <w:szCs w:val="28"/>
        </w:rPr>
      </w:pPr>
    </w:p>
    <w:p>
      <w:pPr>
        <w:pStyle w:val="37"/>
        <w:snapToGrid w:val="0"/>
        <w:ind w:left="0" w:leftChars="0" w:right="280" w:rightChars="100" w:firstLine="0" w:firstLineChars="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7"/>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07" w:name="_Toc479170302"/>
      <w:bookmarkStart w:id="108" w:name="_Toc516580572"/>
      <w:r>
        <w:rPr>
          <w:rFonts w:hint="eastAsia" w:ascii="华文中宋" w:hAnsi="华文中宋" w:eastAsia="华文中宋"/>
          <w:bCs w:val="0"/>
          <w:color w:val="000000" w:themeColor="text1"/>
        </w:rPr>
        <w:t>第四章  合同主要条款</w:t>
      </w:r>
      <w:bookmarkEnd w:id="107"/>
      <w:bookmarkEnd w:id="108"/>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pStyle w:val="13"/>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09" w:name="_Toc479170303"/>
      <w:bookmarkStart w:id="110" w:name="_Toc516580573"/>
      <w:r>
        <w:rPr>
          <w:rFonts w:hint="eastAsia" w:ascii="华文中宋" w:hAnsi="华文中宋" w:eastAsia="华文中宋"/>
          <w:b/>
          <w:bCs/>
          <w:color w:val="000000" w:themeColor="text1"/>
          <w:sz w:val="36"/>
          <w:szCs w:val="36"/>
        </w:rPr>
        <w:t>第五章  项目需求</w:t>
      </w:r>
      <w:bookmarkEnd w:id="109"/>
      <w:bookmarkEnd w:id="110"/>
    </w:p>
    <w:p>
      <w:pPr>
        <w:adjustRightInd w:val="0"/>
        <w:snapToGrid w:val="0"/>
        <w:spacing w:line="360" w:lineRule="auto"/>
        <w:ind w:firstLine="562" w:firstLineChars="200"/>
        <w:jc w:val="center"/>
        <w:rPr>
          <w:rFonts w:ascii="仿宋_GB2312" w:hAnsi="宋体" w:eastAsia="仿宋_GB2312"/>
          <w:b/>
          <w:szCs w:val="28"/>
        </w:rPr>
      </w:pPr>
      <w:bookmarkStart w:id="111" w:name="_Toc516580574"/>
      <w:bookmarkStart w:id="112" w:name="_Toc479170304"/>
    </w:p>
    <w:p>
      <w:pPr>
        <w:pStyle w:val="57"/>
        <w:adjustRightInd w:val="0"/>
        <w:snapToGrid w:val="0"/>
        <w:spacing w:line="360" w:lineRule="auto"/>
        <w:ind w:firstLine="472" w:firstLineChars="196"/>
        <w:rPr>
          <w:rFonts w:ascii="宋体" w:hAnsi="宋体" w:cs="宋体"/>
          <w:b/>
          <w:color w:val="000000"/>
          <w:sz w:val="24"/>
          <w:szCs w:val="24"/>
        </w:rPr>
      </w:pPr>
      <w:r>
        <w:rPr>
          <w:rFonts w:hint="eastAsia" w:ascii="宋体" w:hAnsi="宋体" w:cs="宋体"/>
          <w:b/>
          <w:color w:val="000000"/>
          <w:sz w:val="24"/>
          <w:szCs w:val="24"/>
        </w:rPr>
        <w:t>一、基本情况</w:t>
      </w:r>
    </w:p>
    <w:p>
      <w:pPr>
        <w:spacing w:line="360" w:lineRule="auto"/>
        <w:ind w:firstLine="480" w:firstLineChars="200"/>
        <w:rPr>
          <w:rFonts w:ascii="宋体" w:hAnsi="宋体" w:cs="宋体"/>
          <w:sz w:val="24"/>
        </w:rPr>
      </w:pPr>
      <w:r>
        <w:rPr>
          <w:rFonts w:hint="eastAsia" w:ascii="宋体" w:hAnsi="宋体" w:cs="宋体"/>
          <w:sz w:val="24"/>
        </w:rPr>
        <w:t>1. 项目内容：皖南医学院能源监管平台和学生公寓水电管理系统维保服务，主要包括系统内所有硬件设备日常管理维护维修、系统软件运行管理、各个系统的数据融合及满足与以上系统有关的后勤服务系统的用户需求。</w:t>
      </w:r>
    </w:p>
    <w:p>
      <w:pPr>
        <w:spacing w:line="360" w:lineRule="auto"/>
        <w:ind w:firstLine="480" w:firstLineChars="200"/>
        <w:rPr>
          <w:rFonts w:ascii="宋体" w:hAnsi="宋体" w:cs="宋体"/>
          <w:sz w:val="24"/>
        </w:rPr>
      </w:pPr>
      <w:r>
        <w:rPr>
          <w:rFonts w:hint="eastAsia" w:ascii="宋体" w:hAnsi="宋体" w:cs="宋体"/>
          <w:sz w:val="24"/>
        </w:rPr>
        <w:t>2. 项目现有基本情况：</w:t>
      </w:r>
    </w:p>
    <w:p>
      <w:pPr>
        <w:pStyle w:val="57"/>
        <w:adjustRightInd w:val="0"/>
        <w:snapToGrid w:val="0"/>
        <w:spacing w:line="360" w:lineRule="auto"/>
        <w:ind w:firstLine="480" w:firstLineChars="200"/>
        <w:rPr>
          <w:rFonts w:ascii="宋体" w:hAnsi="宋体" w:eastAsia="宋体" w:cs="宋体"/>
          <w:kern w:val="2"/>
          <w:sz w:val="24"/>
          <w:szCs w:val="24"/>
          <w:lang w:val="en-US" w:eastAsia="zh-CN" w:bidi="ar-SA"/>
        </w:rPr>
      </w:pPr>
      <w:r>
        <w:rPr>
          <w:rFonts w:hint="eastAsia" w:ascii="宋体" w:hAnsi="宋体" w:cs="宋体"/>
          <w:sz w:val="24"/>
          <w:szCs w:val="24"/>
        </w:rPr>
        <w:t>学校一期平台现有数据采集器33台，电表341台，水表49块。二期平台现共有能耗数据采集器 51 台，电表1093台，水表381台。学生公寓水电管理系统主要用于学校滨江、赭麓校区学生宿舍和教职工宿舍的用电用水智能管理，共计安装智能数据采集器27台，分户智能电表3494块</w:t>
      </w:r>
      <w:r>
        <w:rPr>
          <w:rFonts w:hint="eastAsia" w:ascii="宋体" w:hAnsi="宋体" w:eastAsia="宋体" w:cs="宋体"/>
          <w:kern w:val="2"/>
          <w:sz w:val="24"/>
          <w:szCs w:val="24"/>
          <w:lang w:val="en-US" w:eastAsia="zh-CN" w:bidi="ar-SA"/>
        </w:rPr>
        <w:t>，分户智能水表366块。</w:t>
      </w:r>
    </w:p>
    <w:p>
      <w:pPr>
        <w:numPr>
          <w:ilvl w:val="0"/>
          <w:numId w:val="3"/>
        </w:numPr>
        <w:spacing w:line="360" w:lineRule="auto"/>
        <w:ind w:firstLine="480" w:firstLineChars="200"/>
        <w:rPr>
          <w:rFonts w:ascii="宋体" w:hAnsi="宋体" w:cs="宋体"/>
          <w:sz w:val="24"/>
        </w:rPr>
      </w:pPr>
      <w:r>
        <w:rPr>
          <w:rFonts w:hint="eastAsia" w:ascii="宋体" w:hAnsi="宋体" w:cs="宋体"/>
          <w:sz w:val="24"/>
        </w:rPr>
        <w:t>项目预算：</w:t>
      </w:r>
    </w:p>
    <w:p>
      <w:pPr>
        <w:pStyle w:val="57"/>
        <w:adjustRightInd w:val="0"/>
        <w:snapToGrid w:val="0"/>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19</w:t>
      </w:r>
      <w:r>
        <w:rPr>
          <w:rFonts w:hint="eastAsia" w:ascii="宋体" w:hAnsi="宋体" w:cs="宋体"/>
          <w:b/>
          <w:color w:val="000000"/>
          <w:sz w:val="24"/>
          <w:szCs w:val="24"/>
          <w:lang w:val="en-US" w:eastAsia="zh-CN"/>
        </w:rPr>
        <w:t>.8</w:t>
      </w:r>
      <w:r>
        <w:rPr>
          <w:rFonts w:hint="eastAsia" w:ascii="宋体" w:hAnsi="宋体" w:cs="宋体"/>
          <w:b/>
          <w:color w:val="000000"/>
          <w:sz w:val="24"/>
          <w:szCs w:val="24"/>
        </w:rPr>
        <w:t>万元/年，维保周期为3年，合同</w:t>
      </w:r>
      <w:r>
        <w:rPr>
          <w:rFonts w:hint="eastAsia" w:ascii="宋体" w:hAnsi="宋体" w:cs="宋体"/>
          <w:b/>
          <w:color w:val="000000"/>
          <w:sz w:val="24"/>
          <w:szCs w:val="24"/>
          <w:lang w:val="en-US" w:eastAsia="zh-CN"/>
        </w:rPr>
        <w:t>根据上一年服务质量</w:t>
      </w:r>
      <w:r>
        <w:rPr>
          <w:rFonts w:hint="eastAsia" w:ascii="宋体" w:hAnsi="宋体" w:cs="宋体"/>
          <w:b/>
          <w:color w:val="000000"/>
          <w:sz w:val="24"/>
          <w:szCs w:val="24"/>
        </w:rPr>
        <w:t>签订</w:t>
      </w:r>
      <w:r>
        <w:rPr>
          <w:rFonts w:hint="eastAsia" w:ascii="宋体" w:hAnsi="宋体" w:cs="宋体"/>
          <w:b/>
          <w:color w:val="000000"/>
          <w:sz w:val="24"/>
          <w:szCs w:val="24"/>
          <w:lang w:val="en-US" w:eastAsia="zh-CN"/>
        </w:rPr>
        <w:t>下一年度合同，一年一签</w:t>
      </w:r>
      <w:r>
        <w:rPr>
          <w:rFonts w:hint="eastAsia" w:ascii="宋体" w:hAnsi="宋体" w:cs="宋体"/>
          <w:b/>
          <w:color w:val="000000"/>
          <w:sz w:val="24"/>
          <w:szCs w:val="24"/>
        </w:rPr>
        <w:t>。</w:t>
      </w:r>
    </w:p>
    <w:p>
      <w:pPr>
        <w:spacing w:line="360" w:lineRule="auto"/>
        <w:ind w:firstLine="482" w:firstLineChars="200"/>
        <w:rPr>
          <w:rFonts w:ascii="宋体" w:hAnsi="宋体" w:cs="宋体"/>
          <w:b/>
          <w:bCs/>
          <w:sz w:val="24"/>
        </w:rPr>
      </w:pPr>
      <w:r>
        <w:rPr>
          <w:rFonts w:hint="eastAsia" w:ascii="宋体" w:hAnsi="宋体" w:cs="宋体"/>
          <w:b/>
          <w:bCs/>
          <w:sz w:val="24"/>
        </w:rPr>
        <w:t>二、具体内容</w:t>
      </w:r>
    </w:p>
    <w:p>
      <w:pPr>
        <w:spacing w:line="360" w:lineRule="auto"/>
        <w:ind w:firstLine="480" w:firstLineChars="200"/>
        <w:rPr>
          <w:rFonts w:ascii="宋体" w:hAnsi="宋体" w:cs="宋体"/>
          <w:sz w:val="24"/>
        </w:rPr>
      </w:pPr>
      <w:r>
        <w:rPr>
          <w:rFonts w:hint="eastAsia" w:ascii="宋体" w:hAnsi="宋体" w:cs="宋体"/>
          <w:sz w:val="24"/>
        </w:rPr>
        <w:t>（一）硬件维护管理：</w:t>
      </w:r>
    </w:p>
    <w:p>
      <w:pPr>
        <w:spacing w:line="360" w:lineRule="auto"/>
        <w:ind w:firstLine="480" w:firstLineChars="200"/>
        <w:rPr>
          <w:rFonts w:ascii="宋体" w:hAnsi="宋体" w:cs="宋体"/>
          <w:sz w:val="24"/>
        </w:rPr>
      </w:pPr>
      <w:r>
        <w:rPr>
          <w:rFonts w:hint="eastAsia" w:ascii="宋体" w:hAnsi="宋体" w:cs="宋体"/>
          <w:sz w:val="24"/>
        </w:rPr>
        <w:t>1. 做好能源监管平台的现场设备及线路故障维修排查，要求提供规范的维修记录和维修日志留存，线路问题、表具一般问题等故障需在2小时内响应、48小时内排除，该期限内无法解决的故障维修需提出解决方案并书面告知校方后协商解决。</w:t>
      </w:r>
    </w:p>
    <w:p>
      <w:pPr>
        <w:spacing w:line="360" w:lineRule="auto"/>
        <w:ind w:firstLine="480" w:firstLineChars="200"/>
        <w:rPr>
          <w:rFonts w:ascii="宋体" w:hAnsi="宋体" w:cs="宋体"/>
          <w:sz w:val="24"/>
        </w:rPr>
      </w:pPr>
      <w:r>
        <w:rPr>
          <w:rFonts w:hint="eastAsia" w:ascii="宋体" w:hAnsi="宋体" w:cs="宋体"/>
          <w:sz w:val="24"/>
        </w:rPr>
        <w:t>2. 确保服务器正常运行，确保操作系统及数据库软件正常运行，以及确保服务器网络链路畅通等。</w:t>
      </w:r>
    </w:p>
    <w:p>
      <w:pPr>
        <w:spacing w:line="360" w:lineRule="auto"/>
        <w:ind w:firstLine="480" w:firstLineChars="200"/>
        <w:rPr>
          <w:rFonts w:ascii="宋体" w:hAnsi="宋体" w:cs="宋体"/>
          <w:sz w:val="24"/>
        </w:rPr>
      </w:pPr>
      <w:r>
        <w:rPr>
          <w:rFonts w:hint="eastAsia" w:ascii="宋体" w:hAnsi="宋体" w:cs="宋体"/>
          <w:sz w:val="24"/>
        </w:rPr>
        <w:t>3. 要求投标人在合同期内必须做好全校室外区域所有进楼栋智能水表设备的维修维护，以及所有水表设备上线管理。</w:t>
      </w:r>
    </w:p>
    <w:p>
      <w:pPr>
        <w:spacing w:line="360" w:lineRule="auto"/>
        <w:ind w:firstLine="480" w:firstLineChars="200"/>
        <w:rPr>
          <w:rFonts w:ascii="宋体" w:hAnsi="宋体" w:cs="宋体"/>
          <w:b/>
          <w:bCs/>
          <w:sz w:val="24"/>
        </w:rPr>
      </w:pPr>
      <w:r>
        <w:rPr>
          <w:rFonts w:hint="eastAsia" w:ascii="宋体" w:hAnsi="宋体" w:cs="宋体"/>
          <w:sz w:val="24"/>
        </w:rPr>
        <w:t>4. 硬件设备类：</w:t>
      </w:r>
      <w:r>
        <w:rPr>
          <w:rFonts w:hint="eastAsia" w:ascii="宋体" w:hAnsi="宋体" w:cs="宋体"/>
          <w:b/>
          <w:bCs/>
          <w:sz w:val="24"/>
        </w:rPr>
        <w:t>学校宿舍电控系统、学校能源监管平台一期和二期涉及到的所有硬件设备，包括部署平台应用软件所需的服务器（WEB服务器、数据库服务器）、计量器具（水表、电表）、采集器、通讯网络等提供巡检、维修或更换等维保服务。其中单价在500元及以下的器材设备和人工费用全部包含在年度维保费用中，校方不另外支付费用；单价超过500元的器材设备，费用由学校另行承担（详见</w:t>
      </w:r>
      <w:r>
        <w:rPr>
          <w:rFonts w:hint="eastAsia" w:ascii="宋体" w:hAnsi="宋体" w:cs="宋体"/>
          <w:b/>
          <w:bCs/>
          <w:sz w:val="24"/>
          <w:lang w:val="en-US" w:eastAsia="zh-CN"/>
        </w:rPr>
        <w:t>附件1</w:t>
      </w:r>
      <w:r>
        <w:rPr>
          <w:rFonts w:hint="eastAsia" w:ascii="宋体" w:hAnsi="宋体" w:cs="宋体"/>
          <w:b/>
          <w:bCs/>
          <w:sz w:val="24"/>
        </w:rPr>
        <w:t>“设备</w:t>
      </w:r>
      <w:r>
        <w:rPr>
          <w:rFonts w:hint="eastAsia" w:ascii="宋体" w:hAnsi="宋体" w:cs="宋体"/>
          <w:b/>
          <w:bCs/>
          <w:sz w:val="24"/>
          <w:lang w:val="en-US" w:eastAsia="zh-CN"/>
        </w:rPr>
        <w:t>价格</w:t>
      </w:r>
      <w:r>
        <w:rPr>
          <w:rFonts w:hint="eastAsia" w:ascii="宋体" w:hAnsi="宋体" w:cs="宋体"/>
          <w:b/>
          <w:bCs/>
          <w:sz w:val="24"/>
        </w:rPr>
        <w:t>明细表”），</w:t>
      </w:r>
      <w:r>
        <w:rPr>
          <w:rFonts w:hint="eastAsia" w:ascii="宋体" w:hAnsi="宋体" w:cs="宋体"/>
          <w:b/>
          <w:bCs/>
          <w:sz w:val="24"/>
          <w:lang w:eastAsia="zh-CN"/>
        </w:rPr>
        <w:t>人工费不另外支付，</w:t>
      </w:r>
      <w:r>
        <w:rPr>
          <w:rFonts w:hint="eastAsia" w:ascii="宋体" w:hAnsi="宋体" w:cs="宋体"/>
          <w:b/>
          <w:bCs/>
          <w:sz w:val="24"/>
        </w:rPr>
        <w:t>乙方必须按要求提出维修需求，待校方同意后更换维修，且更换设备要求提供1年的质保。</w:t>
      </w:r>
    </w:p>
    <w:p>
      <w:pPr>
        <w:spacing w:line="360" w:lineRule="auto"/>
        <w:ind w:firstLine="480" w:firstLineChars="200"/>
        <w:rPr>
          <w:rFonts w:ascii="宋体" w:hAnsi="宋体" w:cs="宋体"/>
          <w:sz w:val="24"/>
        </w:rPr>
      </w:pPr>
      <w:r>
        <w:rPr>
          <w:rFonts w:hint="eastAsia" w:ascii="宋体" w:hAnsi="宋体" w:cs="宋体"/>
          <w:sz w:val="24"/>
        </w:rPr>
        <w:t>5. 新增设备类：针对学校新建或改建建筑物内新增安装的各智能水、电计量仪表，乙方须安排专人配合学校或相关维修单位进行前期图纸设计、清单编制过程中的需求提出，设备安装完成后乙方须做好数据接入及设备调试上线工作。在甲方给乙方下达调试任务后如非甲方原因，乙方调试周期上线不得超过30个日历日/栋。该项工作甲方不另支付人工费及500元以下的设备费用，因甲方需求新增除外。</w:t>
      </w:r>
    </w:p>
    <w:p>
      <w:pPr>
        <w:spacing w:line="360" w:lineRule="auto"/>
        <w:ind w:firstLine="480" w:firstLineChars="200"/>
        <w:rPr>
          <w:rFonts w:ascii="宋体" w:hAnsi="宋体" w:cs="宋体"/>
          <w:sz w:val="24"/>
        </w:rPr>
      </w:pPr>
      <w:r>
        <w:rPr>
          <w:rFonts w:hint="eastAsia" w:ascii="宋体" w:hAnsi="宋体" w:cs="宋体"/>
          <w:sz w:val="24"/>
        </w:rPr>
        <w:t>（二） 系统软件管理</w:t>
      </w:r>
    </w:p>
    <w:p>
      <w:pPr>
        <w:spacing w:line="360" w:lineRule="auto"/>
        <w:ind w:firstLine="480" w:firstLineChars="200"/>
        <w:rPr>
          <w:rFonts w:ascii="宋体" w:hAnsi="宋体" w:cs="宋体"/>
          <w:sz w:val="24"/>
        </w:rPr>
      </w:pPr>
      <w:r>
        <w:rPr>
          <w:rFonts w:hint="eastAsia" w:ascii="宋体" w:hAnsi="宋体" w:cs="宋体"/>
          <w:sz w:val="24"/>
        </w:rPr>
        <w:t>1. 对系统的日常运行和网络安全进行监控，确保软件正常运行，发现异常信息及时处理和告知校方。</w:t>
      </w:r>
    </w:p>
    <w:p>
      <w:pPr>
        <w:spacing w:line="360" w:lineRule="auto"/>
        <w:ind w:firstLine="480" w:firstLineChars="200"/>
        <w:rPr>
          <w:rFonts w:hint="default" w:ascii="宋体" w:hAnsi="宋体" w:cs="宋体"/>
          <w:sz w:val="24"/>
          <w:lang w:val="en-US" w:eastAsia="zh-CN"/>
        </w:rPr>
      </w:pPr>
      <w:r>
        <w:rPr>
          <w:rFonts w:hint="eastAsia" w:ascii="宋体" w:hAnsi="宋体" w:cs="宋体"/>
          <w:sz w:val="24"/>
        </w:rPr>
        <w:t>2. 提供系统各类技术资料和报告，要求维保单位定期根据校方要求对系统进行运行数据备份</w:t>
      </w:r>
      <w:r>
        <w:rPr>
          <w:rFonts w:hint="eastAsia" w:ascii="宋体" w:hAnsi="宋体" w:cs="宋体"/>
          <w:sz w:val="24"/>
          <w:lang w:eastAsia="zh-CN"/>
        </w:rPr>
        <w:t>，并配合学校做好网络安全相关工作</w:t>
      </w:r>
      <w:r>
        <w:rPr>
          <w:rFonts w:hint="eastAsia" w:ascii="宋体" w:hAnsi="宋体" w:cs="宋体"/>
          <w:sz w:val="24"/>
          <w:lang w:val="en-US" w:eastAsia="zh-CN"/>
        </w:rPr>
        <w:t>。</w:t>
      </w:r>
    </w:p>
    <w:p>
      <w:pPr>
        <w:spacing w:line="360" w:lineRule="auto"/>
        <w:ind w:firstLine="480" w:firstLineChars="200"/>
        <w:rPr>
          <w:rFonts w:ascii="宋体" w:hAnsi="宋体" w:cs="宋体"/>
          <w:sz w:val="24"/>
        </w:rPr>
      </w:pPr>
      <w:r>
        <w:rPr>
          <w:rFonts w:hint="eastAsia" w:ascii="宋体" w:hAnsi="宋体" w:cs="宋体"/>
          <w:sz w:val="24"/>
        </w:rPr>
        <w:t>3. 须配合学校做好能源监管平台、电控平台相关人员的定期培训，如物业维修人员与平台相关的常见故障处理、物业信息管理员等的系统日常操作培训和技术支持，要求必须提供系统简单的操作指南。</w:t>
      </w:r>
    </w:p>
    <w:p>
      <w:pPr>
        <w:spacing w:line="360" w:lineRule="auto"/>
        <w:ind w:firstLine="480" w:firstLineChars="200"/>
        <w:rPr>
          <w:rFonts w:ascii="宋体" w:hAnsi="宋体" w:cs="宋体"/>
          <w:sz w:val="24"/>
        </w:rPr>
      </w:pPr>
      <w:r>
        <w:rPr>
          <w:rFonts w:hint="eastAsia" w:ascii="宋体" w:hAnsi="宋体" w:cs="宋体"/>
          <w:sz w:val="24"/>
        </w:rPr>
        <w:t>4. 与原有系统供应商的协调，可以做到原有系统软件操作数据管理及备份。</w:t>
      </w:r>
    </w:p>
    <w:p>
      <w:pPr>
        <w:spacing w:line="360" w:lineRule="auto"/>
        <w:ind w:firstLine="480" w:firstLineChars="200"/>
        <w:rPr>
          <w:rFonts w:ascii="宋体" w:hAnsi="宋体" w:cs="宋体"/>
          <w:sz w:val="24"/>
        </w:rPr>
      </w:pPr>
      <w:r>
        <w:rPr>
          <w:rFonts w:hint="eastAsia" w:ascii="宋体" w:hAnsi="宋体" w:cs="宋体"/>
          <w:sz w:val="24"/>
        </w:rPr>
        <w:t>（三） 运行服务管理</w:t>
      </w:r>
    </w:p>
    <w:p>
      <w:pPr>
        <w:spacing w:line="360" w:lineRule="auto"/>
        <w:ind w:firstLine="480" w:firstLineChars="200"/>
        <w:rPr>
          <w:rFonts w:ascii="宋体" w:hAnsi="宋体" w:cs="宋体"/>
          <w:sz w:val="24"/>
        </w:rPr>
      </w:pPr>
      <w:r>
        <w:rPr>
          <w:rFonts w:hint="eastAsia" w:ascii="宋体" w:hAnsi="宋体" w:cs="宋体"/>
          <w:sz w:val="24"/>
        </w:rPr>
        <w:t>1. 需要根据学校要求完成学校水电管网线路摸排梳理，对系统内现有所有表具与对应建筑物关系进行梳理，弄清每块表具的计量范围和对应关系，并实时根据现场情况在软件系统上进行相应的调整及更换；同时完成计量能耗数据的准确核校；保证平台内所有表具在线率不低于90%，为学校下一步能耗公示工作奠定基础；在接到学校的报修后，需在2小时内响应，48小时内提出解决方案；提供至少每月一次的现场巡检服务，并提供巡检记录；出具年度平台运营分析报告及校方要求的与本项目相关的其他运营服务等。</w:t>
      </w:r>
    </w:p>
    <w:p>
      <w:pPr>
        <w:spacing w:line="360" w:lineRule="auto"/>
        <w:ind w:firstLine="480" w:firstLineChars="200"/>
        <w:rPr>
          <w:rFonts w:hint="eastAsia" w:ascii="宋体" w:hAnsi="宋体" w:cs="宋体"/>
          <w:sz w:val="24"/>
        </w:rPr>
      </w:pPr>
      <w:r>
        <w:rPr>
          <w:rFonts w:hint="eastAsia" w:ascii="宋体" w:hAnsi="宋体" w:cs="宋体"/>
          <w:sz w:val="24"/>
        </w:rPr>
        <w:t>2. 配合校方完成日常能源管理、数据汇总统计、报表整理、能源审计、</w:t>
      </w:r>
      <w:r>
        <w:rPr>
          <w:rFonts w:hint="eastAsia" w:ascii="宋体" w:hAnsi="宋体" w:cs="宋体"/>
          <w:sz w:val="24"/>
          <w:lang w:eastAsia="zh-CN"/>
        </w:rPr>
        <w:t>数据预警</w:t>
      </w:r>
      <w:r>
        <w:rPr>
          <w:rFonts w:hint="eastAsia" w:ascii="宋体" w:hAnsi="宋体" w:cs="宋体"/>
          <w:sz w:val="24"/>
        </w:rPr>
        <w:t>等工作；</w:t>
      </w:r>
    </w:p>
    <w:p>
      <w:pPr>
        <w:spacing w:line="360" w:lineRule="auto"/>
        <w:ind w:firstLine="480" w:firstLineChars="200"/>
        <w:rPr>
          <w:rFonts w:hint="eastAsia" w:ascii="宋体" w:hAnsi="宋体" w:cs="宋体"/>
          <w:sz w:val="24"/>
        </w:rPr>
      </w:pPr>
      <w:r>
        <w:rPr>
          <w:rFonts w:hint="eastAsia" w:ascii="宋体" w:hAnsi="宋体" w:cs="宋体"/>
          <w:sz w:val="24"/>
        </w:rPr>
        <w:t>3. 要求合同期内必须根据水电表梳理结果协助做好全校各部门能源公示系统的建设，该系统可以根据学校后续使用需求进行一定的功能扩展。</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三、其它事项</w:t>
      </w:r>
    </w:p>
    <w:p>
      <w:pPr>
        <w:spacing w:line="360" w:lineRule="auto"/>
        <w:ind w:firstLine="480" w:firstLineChars="200"/>
        <w:rPr>
          <w:rFonts w:ascii="宋体" w:hAnsi="宋体" w:cs="宋体"/>
          <w:sz w:val="24"/>
        </w:rPr>
      </w:pPr>
      <w:r>
        <w:rPr>
          <w:rFonts w:hint="eastAsia" w:ascii="宋体" w:hAnsi="宋体" w:cs="宋体"/>
          <w:sz w:val="24"/>
        </w:rPr>
        <w:t>1.  全部维保工作，包括能源监管集成平台建设，软件升级和优化，硬件（低于单价500元的电表及水表表头以及线路）维修、维护等工作人工费用全部包含在合同价中；</w:t>
      </w:r>
    </w:p>
    <w:p>
      <w:pPr>
        <w:spacing w:line="360" w:lineRule="auto"/>
        <w:ind w:firstLine="480" w:firstLineChars="200"/>
        <w:rPr>
          <w:rFonts w:ascii="宋体" w:hAnsi="宋体" w:cs="宋体"/>
          <w:sz w:val="24"/>
        </w:rPr>
      </w:pPr>
      <w:r>
        <w:rPr>
          <w:rFonts w:hint="eastAsia" w:ascii="宋体" w:hAnsi="宋体" w:cs="宋体"/>
          <w:sz w:val="24"/>
        </w:rPr>
        <w:t>2. 在合同实施期间，因设备质量或线路问题造成的设备损坏由乙方负责无条件在规定期限内进行更换和维修；因学校需求、设备、器材自然损坏或不可抗力因素导致的损坏须对其进行更换的，单价超过500元的设备器材，乙方及时完成维修更换后提供出具确认维保清单，并经校方审核确认后，根据</w:t>
      </w:r>
      <w:r>
        <w:rPr>
          <w:rFonts w:hint="eastAsia" w:ascii="宋体" w:hAnsi="宋体" w:cs="宋体"/>
          <w:sz w:val="24"/>
          <w:lang w:val="en-US" w:eastAsia="zh-CN"/>
        </w:rPr>
        <w:t>价格</w:t>
      </w:r>
      <w:r>
        <w:rPr>
          <w:rFonts w:hint="eastAsia" w:ascii="宋体" w:hAnsi="宋体" w:cs="宋体"/>
          <w:sz w:val="24"/>
        </w:rPr>
        <w:t>明细表</w:t>
      </w:r>
      <w:r>
        <w:rPr>
          <w:rFonts w:hint="eastAsia" w:ascii="宋体" w:hAnsi="宋体" w:cs="宋体"/>
          <w:sz w:val="24"/>
          <w:lang w:eastAsia="zh-CN"/>
        </w:rPr>
        <w:t>（</w:t>
      </w:r>
      <w:r>
        <w:rPr>
          <w:rFonts w:hint="eastAsia" w:ascii="宋体" w:hAnsi="宋体" w:cs="宋体"/>
          <w:sz w:val="24"/>
          <w:lang w:val="en-US" w:eastAsia="zh-CN"/>
        </w:rPr>
        <w:t>附件1</w:t>
      </w:r>
      <w:r>
        <w:rPr>
          <w:rFonts w:hint="eastAsia" w:ascii="宋体" w:hAnsi="宋体" w:cs="宋体"/>
          <w:sz w:val="24"/>
          <w:lang w:eastAsia="zh-CN"/>
        </w:rPr>
        <w:t>）</w:t>
      </w:r>
      <w:r>
        <w:rPr>
          <w:rFonts w:hint="eastAsia" w:ascii="宋体" w:hAnsi="宋体" w:cs="宋体"/>
          <w:sz w:val="24"/>
        </w:rPr>
        <w:t>，另行单独核算报销相关设备器材费用；</w:t>
      </w:r>
    </w:p>
    <w:p>
      <w:pPr>
        <w:spacing w:line="360" w:lineRule="auto"/>
        <w:ind w:firstLine="480" w:firstLineChars="200"/>
        <w:rPr>
          <w:rFonts w:ascii="宋体" w:hAnsi="宋体" w:cs="宋体"/>
          <w:sz w:val="24"/>
        </w:rPr>
      </w:pPr>
      <w:r>
        <w:rPr>
          <w:rFonts w:hint="eastAsia" w:ascii="宋体" w:hAnsi="宋体" w:cs="宋体"/>
          <w:sz w:val="24"/>
        </w:rPr>
        <w:t>3. 根据学校需求，新增、改建能源监管设施设备或学生公寓电控计量设施设备，按投标文件中所列设备、器材、人工费单价和费率执行，后期不得进行修改变动；</w:t>
      </w:r>
    </w:p>
    <w:p>
      <w:pPr>
        <w:spacing w:line="360" w:lineRule="auto"/>
        <w:ind w:firstLine="480" w:firstLineChars="200"/>
        <w:rPr>
          <w:rFonts w:ascii="宋体" w:hAnsi="宋体" w:cs="宋体"/>
          <w:sz w:val="24"/>
        </w:rPr>
      </w:pPr>
      <w:r>
        <w:rPr>
          <w:rFonts w:hint="eastAsia" w:ascii="宋体" w:hAnsi="宋体" w:cs="宋体"/>
          <w:sz w:val="24"/>
        </w:rPr>
        <w:t>4. 为保证维修、维护工作的及时性，对于维修、维护中常用的产品</w:t>
      </w:r>
      <w:bookmarkStart w:id="113" w:name="_Hlk102513359"/>
      <w:r>
        <w:rPr>
          <w:rFonts w:hint="eastAsia" w:ascii="宋体" w:hAnsi="宋体" w:cs="宋体"/>
          <w:sz w:val="24"/>
        </w:rPr>
        <w:t>（详附件《备品备件清单表》</w:t>
      </w:r>
      <w:bookmarkEnd w:id="113"/>
      <w:r>
        <w:rPr>
          <w:rFonts w:hint="eastAsia" w:ascii="宋体" w:hAnsi="宋体" w:cs="宋体"/>
          <w:sz w:val="24"/>
        </w:rPr>
        <w:t>，乙方必须承诺提供的备品备件</w:t>
      </w:r>
      <w:r>
        <w:rPr>
          <w:rFonts w:hint="eastAsia" w:ascii="宋体" w:hAnsi="宋体" w:cs="宋体"/>
          <w:sz w:val="24"/>
          <w:lang w:eastAsia="zh-CN"/>
        </w:rPr>
        <w:t>，在</w:t>
      </w:r>
      <w:r>
        <w:rPr>
          <w:rFonts w:hint="eastAsia" w:ascii="宋体" w:hAnsi="宋体" w:cs="宋体"/>
          <w:sz w:val="24"/>
        </w:rPr>
        <w:t>合同签订后15个工作日内将备品备件送达甲方的指定地点，并且在备品备件使用消耗后，及时补充。</w:t>
      </w:r>
    </w:p>
    <w:p>
      <w:pPr>
        <w:spacing w:line="360" w:lineRule="auto"/>
        <w:ind w:firstLine="480" w:firstLineChars="200"/>
        <w:rPr>
          <w:rFonts w:hint="default" w:ascii="宋体" w:hAnsi="宋体" w:cs="宋体"/>
          <w:sz w:val="24"/>
          <w:lang w:val="en-US" w:eastAsia="zh-CN"/>
        </w:rPr>
      </w:pPr>
      <w:r>
        <w:rPr>
          <w:rFonts w:hint="eastAsia" w:ascii="宋体" w:hAnsi="宋体" w:cs="宋体"/>
          <w:sz w:val="24"/>
        </w:rPr>
        <w:t>5. 在为维保过程中，由于厂家停产或者产品升级，无法提供原产品。在提供升级产品或者替代品的，性能参数不得低于原产品的，且价格不得高于原产品。</w:t>
      </w:r>
    </w:p>
    <w:p>
      <w:pPr>
        <w:pStyle w:val="2"/>
        <w:numPr>
          <w:ilvl w:val="0"/>
          <w:numId w:val="0"/>
        </w:numPr>
        <w:spacing w:line="360" w:lineRule="auto"/>
        <w:ind w:firstLine="480" w:firstLineChars="200"/>
        <w:rPr>
          <w:rFonts w:ascii="宋体" w:hAnsi="宋体" w:cs="宋体"/>
          <w:sz w:val="24"/>
        </w:rPr>
      </w:pPr>
      <w:r>
        <w:rPr>
          <w:rFonts w:hint="default" w:ascii="宋体" w:hAnsi="宋体" w:cs="宋体"/>
          <w:sz w:val="24"/>
          <w:lang w:val="en-US"/>
        </w:rPr>
        <w:t>6.如</w:t>
      </w:r>
      <w:r>
        <w:rPr>
          <w:rFonts w:hint="eastAsia" w:ascii="宋体" w:hAnsi="宋体" w:cs="宋体"/>
          <w:sz w:val="24"/>
          <w:lang w:val="en-US" w:eastAsia="zh-CN"/>
        </w:rPr>
        <w:t>中标单位无法提供相关</w:t>
      </w:r>
      <w:r>
        <w:rPr>
          <w:rFonts w:hint="default" w:ascii="宋体" w:hAnsi="宋体" w:cs="宋体"/>
          <w:sz w:val="24"/>
          <w:lang w:val="en-US"/>
        </w:rPr>
        <w:t>配品配件，可由校方采购市场询价的方式确定产品采购品牌和单价</w:t>
      </w:r>
      <w:r>
        <w:rPr>
          <w:rFonts w:hint="eastAsia" w:ascii="宋体" w:hAnsi="宋体" w:cs="宋体"/>
          <w:sz w:val="24"/>
          <w:lang w:val="en-US" w:eastAsia="zh-CN"/>
        </w:rPr>
        <w:t>，相关费用由中标单位承担。</w:t>
      </w:r>
    </w:p>
    <w:p>
      <w:pPr>
        <w:spacing w:line="360" w:lineRule="auto"/>
        <w:rPr>
          <w:rFonts w:ascii="宋体" w:hAnsi="宋体" w:cs="宋体"/>
          <w:sz w:val="24"/>
          <w:highlight w:val="none"/>
        </w:rPr>
      </w:pPr>
    </w:p>
    <w:p>
      <w:pPr>
        <w:pStyle w:val="57"/>
        <w:adjustRightInd w:val="0"/>
        <w:snapToGrid w:val="0"/>
        <w:ind w:firstLine="555"/>
        <w:jc w:val="left"/>
        <w:rPr>
          <w:rFonts w:ascii="宋体" w:hAnsi="宋体" w:cs="宋体"/>
          <w:b/>
          <w:bCs/>
          <w:color w:val="000000"/>
          <w:sz w:val="28"/>
          <w:szCs w:val="28"/>
          <w:highlight w:val="none"/>
        </w:rPr>
      </w:pPr>
      <w:r>
        <w:rPr>
          <w:rFonts w:hint="eastAsia" w:ascii="宋体" w:hAnsi="宋体" w:cs="宋体"/>
          <w:b/>
          <w:bCs/>
          <w:color w:val="000000"/>
          <w:sz w:val="28"/>
          <w:szCs w:val="28"/>
          <w:highlight w:val="none"/>
          <w:lang w:eastAsia="zh-CN"/>
        </w:rPr>
        <w:t>附件：</w:t>
      </w:r>
      <w:r>
        <w:rPr>
          <w:rFonts w:hint="eastAsia" w:ascii="宋体" w:hAnsi="宋体" w:cs="宋体"/>
          <w:b/>
          <w:bCs/>
          <w:color w:val="000000"/>
          <w:sz w:val="28"/>
          <w:szCs w:val="28"/>
          <w:highlight w:val="none"/>
        </w:rPr>
        <w:t>备品备件清单表</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987"/>
        <w:gridCol w:w="1776"/>
        <w:gridCol w:w="868"/>
        <w:gridCol w:w="870"/>
        <w:gridCol w:w="2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序号</w:t>
            </w:r>
          </w:p>
        </w:tc>
        <w:tc>
          <w:tcPr>
            <w:tcW w:w="1184"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名称</w:t>
            </w:r>
          </w:p>
        </w:tc>
        <w:tc>
          <w:tcPr>
            <w:tcW w:w="952"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规格型号</w:t>
            </w: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单位</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数量</w:t>
            </w:r>
          </w:p>
        </w:tc>
        <w:tc>
          <w:tcPr>
            <w:tcW w:w="13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1</w:t>
            </w:r>
          </w:p>
        </w:tc>
        <w:tc>
          <w:tcPr>
            <w:tcW w:w="1184"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单相预付费智能电表</w:t>
            </w:r>
          </w:p>
        </w:tc>
        <w:tc>
          <w:tcPr>
            <w:tcW w:w="952"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10(40)A</w:t>
            </w:r>
          </w:p>
        </w:tc>
        <w:tc>
          <w:tcPr>
            <w:tcW w:w="527" w:type="pct"/>
          </w:tcPr>
          <w:p>
            <w:pPr>
              <w:pStyle w:val="57"/>
              <w:adjustRightInd w:val="0"/>
              <w:snapToGrid w:val="0"/>
              <w:jc w:val="center"/>
              <w:rPr>
                <w:rFonts w:ascii="宋体" w:hAnsi="宋体" w:cs="宋体"/>
                <w:color w:val="000000"/>
                <w:kern w:val="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4</w:t>
            </w:r>
            <w:r>
              <w:rPr>
                <w:rFonts w:ascii="宋体" w:hAnsi="宋体" w:cs="宋体"/>
                <w:color w:val="000000"/>
                <w:sz w:val="24"/>
                <w:szCs w:val="24"/>
                <w:highlight w:val="none"/>
              </w:rPr>
              <w:t>0</w:t>
            </w:r>
          </w:p>
        </w:tc>
        <w:tc>
          <w:tcPr>
            <w:tcW w:w="13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学生宿舍电控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2</w:t>
            </w:r>
          </w:p>
        </w:tc>
        <w:tc>
          <w:tcPr>
            <w:tcW w:w="1184" w:type="pct"/>
          </w:tcPr>
          <w:p>
            <w:pPr>
              <w:pStyle w:val="57"/>
              <w:adjustRightInd w:val="0"/>
              <w:snapToGrid w:val="0"/>
              <w:jc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单相智能电表</w:t>
            </w:r>
          </w:p>
        </w:tc>
        <w:tc>
          <w:tcPr>
            <w:tcW w:w="952" w:type="pct"/>
          </w:tcPr>
          <w:p>
            <w:pPr>
              <w:pStyle w:val="57"/>
              <w:adjustRightInd w:val="0"/>
              <w:snapToGrid w:val="0"/>
              <w:jc w:val="center"/>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10(40)A</w:t>
            </w: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5</w:t>
            </w:r>
          </w:p>
        </w:tc>
        <w:tc>
          <w:tcPr>
            <w:tcW w:w="1353" w:type="pct"/>
          </w:tcPr>
          <w:p>
            <w:pPr>
              <w:pStyle w:val="57"/>
              <w:adjustRightInd w:val="0"/>
              <w:snapToGrid w:val="0"/>
              <w:jc w:val="center"/>
              <w:rPr>
                <w:rFonts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53" w:type="pct"/>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3</w:t>
            </w:r>
          </w:p>
        </w:tc>
        <w:tc>
          <w:tcPr>
            <w:tcW w:w="1184"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三相预付费智能电表</w:t>
            </w:r>
          </w:p>
        </w:tc>
        <w:tc>
          <w:tcPr>
            <w:tcW w:w="952"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1.5(6)A</w:t>
            </w: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5</w:t>
            </w:r>
          </w:p>
        </w:tc>
        <w:tc>
          <w:tcPr>
            <w:tcW w:w="1353" w:type="pct"/>
          </w:tcPr>
          <w:p>
            <w:pPr>
              <w:pStyle w:val="57"/>
              <w:adjustRightInd w:val="0"/>
              <w:snapToGrid w:val="0"/>
              <w:jc w:val="center"/>
              <w:rPr>
                <w:rFonts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4</w:t>
            </w:r>
          </w:p>
        </w:tc>
        <w:tc>
          <w:tcPr>
            <w:tcW w:w="1184"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水表表头</w:t>
            </w:r>
          </w:p>
        </w:tc>
        <w:tc>
          <w:tcPr>
            <w:tcW w:w="952"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D</w:t>
            </w:r>
            <w:r>
              <w:rPr>
                <w:rFonts w:ascii="宋体" w:hAnsi="宋体" w:cs="宋体"/>
                <w:color w:val="000000"/>
                <w:sz w:val="24"/>
                <w:szCs w:val="24"/>
                <w:highlight w:val="none"/>
              </w:rPr>
              <w:t>N40-DN200</w:t>
            </w: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ascii="宋体" w:hAnsi="宋体" w:cs="宋体"/>
                <w:color w:val="000000"/>
                <w:sz w:val="24"/>
                <w:szCs w:val="24"/>
                <w:highlight w:val="none"/>
              </w:rPr>
              <w:t>0</w:t>
            </w:r>
          </w:p>
        </w:tc>
        <w:tc>
          <w:tcPr>
            <w:tcW w:w="1353" w:type="pct"/>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DN40</w:t>
            </w:r>
            <w:r>
              <w:rPr>
                <w:rFonts w:hint="eastAsia" w:ascii="宋体" w:hAnsi="宋体" w:cs="宋体"/>
                <w:color w:val="000000"/>
                <w:sz w:val="24"/>
                <w:szCs w:val="24"/>
                <w:highlight w:val="none"/>
              </w:rPr>
              <w:t>为1个D</w:t>
            </w:r>
            <w:r>
              <w:rPr>
                <w:rFonts w:ascii="宋体" w:hAnsi="宋体" w:cs="宋体"/>
                <w:color w:val="000000"/>
                <w:sz w:val="24"/>
                <w:szCs w:val="24"/>
                <w:highlight w:val="none"/>
              </w:rPr>
              <w:t>N50</w:t>
            </w:r>
            <w:r>
              <w:rPr>
                <w:rFonts w:hint="eastAsia" w:ascii="宋体" w:hAnsi="宋体" w:cs="宋体"/>
                <w:color w:val="000000"/>
                <w:sz w:val="24"/>
                <w:szCs w:val="24"/>
                <w:highlight w:val="none"/>
              </w:rPr>
              <w:t>为3个D</w:t>
            </w:r>
            <w:r>
              <w:rPr>
                <w:rFonts w:ascii="宋体" w:hAnsi="宋体" w:cs="宋体"/>
                <w:color w:val="000000"/>
                <w:sz w:val="24"/>
                <w:szCs w:val="24"/>
                <w:highlight w:val="none"/>
              </w:rPr>
              <w:t>N80</w:t>
            </w:r>
            <w:r>
              <w:rPr>
                <w:rFonts w:hint="eastAsia" w:ascii="宋体" w:hAnsi="宋体" w:cs="宋体"/>
                <w:color w:val="000000"/>
                <w:sz w:val="24"/>
                <w:szCs w:val="24"/>
                <w:highlight w:val="none"/>
              </w:rPr>
              <w:t>为</w:t>
            </w:r>
            <w:r>
              <w:rPr>
                <w:rFonts w:ascii="宋体" w:hAnsi="宋体" w:cs="宋体"/>
                <w:color w:val="000000"/>
                <w:sz w:val="24"/>
                <w:szCs w:val="24"/>
                <w:highlight w:val="none"/>
              </w:rPr>
              <w:t>7</w:t>
            </w:r>
            <w:r>
              <w:rPr>
                <w:rFonts w:hint="eastAsia" w:ascii="宋体" w:hAnsi="宋体" w:cs="宋体"/>
                <w:color w:val="000000"/>
                <w:sz w:val="24"/>
                <w:szCs w:val="24"/>
                <w:highlight w:val="none"/>
              </w:rPr>
              <w:t>个D</w:t>
            </w:r>
            <w:r>
              <w:rPr>
                <w:rFonts w:ascii="宋体" w:hAnsi="宋体" w:cs="宋体"/>
                <w:color w:val="000000"/>
                <w:sz w:val="24"/>
                <w:szCs w:val="24"/>
                <w:highlight w:val="none"/>
              </w:rPr>
              <w:t>N100</w:t>
            </w:r>
            <w:r>
              <w:rPr>
                <w:rFonts w:hint="eastAsia" w:ascii="宋体" w:hAnsi="宋体" w:cs="宋体"/>
                <w:color w:val="000000"/>
                <w:sz w:val="24"/>
                <w:szCs w:val="24"/>
                <w:highlight w:val="none"/>
              </w:rPr>
              <w:t>为</w:t>
            </w:r>
            <w:r>
              <w:rPr>
                <w:rFonts w:ascii="宋体" w:hAnsi="宋体" w:cs="宋体"/>
                <w:color w:val="000000"/>
                <w:sz w:val="24"/>
                <w:szCs w:val="24"/>
                <w:highlight w:val="none"/>
              </w:rPr>
              <w:t>7</w:t>
            </w:r>
            <w:r>
              <w:rPr>
                <w:rFonts w:hint="eastAsia" w:ascii="宋体" w:hAnsi="宋体" w:cs="宋体"/>
                <w:color w:val="000000"/>
                <w:sz w:val="24"/>
                <w:szCs w:val="24"/>
                <w:highlight w:val="none"/>
              </w:rPr>
              <w:t>个D</w:t>
            </w:r>
            <w:r>
              <w:rPr>
                <w:rFonts w:ascii="宋体" w:hAnsi="宋体" w:cs="宋体"/>
                <w:color w:val="000000"/>
                <w:sz w:val="24"/>
                <w:szCs w:val="24"/>
                <w:highlight w:val="none"/>
              </w:rPr>
              <w:t>N150</w:t>
            </w:r>
            <w:r>
              <w:rPr>
                <w:rFonts w:hint="eastAsia" w:ascii="宋体" w:hAnsi="宋体" w:cs="宋体"/>
                <w:color w:val="000000"/>
                <w:sz w:val="24"/>
                <w:szCs w:val="24"/>
                <w:highlight w:val="none"/>
              </w:rPr>
              <w:t>为1个D</w:t>
            </w:r>
            <w:r>
              <w:rPr>
                <w:rFonts w:ascii="宋体" w:hAnsi="宋体" w:cs="宋体"/>
                <w:color w:val="000000"/>
                <w:sz w:val="24"/>
                <w:szCs w:val="24"/>
                <w:highlight w:val="none"/>
              </w:rPr>
              <w:t>N200</w:t>
            </w:r>
            <w:r>
              <w:rPr>
                <w:rFonts w:hint="eastAsia" w:ascii="宋体" w:hAnsi="宋体" w:cs="宋体"/>
                <w:color w:val="000000"/>
                <w:sz w:val="24"/>
                <w:szCs w:val="24"/>
                <w:highlight w:val="none"/>
              </w:rPr>
              <w:t>为1个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vAlign w:val="center"/>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5</w:t>
            </w:r>
          </w:p>
        </w:tc>
        <w:tc>
          <w:tcPr>
            <w:tcW w:w="1184"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kern w:val="0"/>
                <w:sz w:val="24"/>
                <w:szCs w:val="24"/>
                <w:highlight w:val="none"/>
              </w:rPr>
              <w:t>电控系统采集器</w:t>
            </w:r>
          </w:p>
        </w:tc>
        <w:tc>
          <w:tcPr>
            <w:tcW w:w="952"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kern w:val="0"/>
                <w:sz w:val="24"/>
                <w:szCs w:val="24"/>
                <w:highlight w:val="none"/>
              </w:rPr>
              <w:t>QYCJQ—08</w:t>
            </w: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3</w:t>
            </w:r>
          </w:p>
        </w:tc>
        <w:tc>
          <w:tcPr>
            <w:tcW w:w="13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每个校区备用1个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vAlign w:val="center"/>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6</w:t>
            </w:r>
          </w:p>
        </w:tc>
        <w:tc>
          <w:tcPr>
            <w:tcW w:w="1184"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电表通讯线</w:t>
            </w:r>
          </w:p>
        </w:tc>
        <w:tc>
          <w:tcPr>
            <w:tcW w:w="952"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RVVP2*1.0mm²</w:t>
            </w:r>
          </w:p>
        </w:tc>
        <w:tc>
          <w:tcPr>
            <w:tcW w:w="527"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米</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4</w:t>
            </w:r>
            <w:r>
              <w:rPr>
                <w:rFonts w:ascii="宋体" w:hAnsi="宋体" w:cs="宋体"/>
                <w:color w:val="000000"/>
                <w:sz w:val="24"/>
                <w:szCs w:val="24"/>
                <w:highlight w:val="none"/>
              </w:rPr>
              <w:t>00</w:t>
            </w:r>
          </w:p>
        </w:tc>
        <w:tc>
          <w:tcPr>
            <w:tcW w:w="1353" w:type="pct"/>
          </w:tcPr>
          <w:p>
            <w:pPr>
              <w:pStyle w:val="57"/>
              <w:adjustRightInd w:val="0"/>
              <w:snapToGrid w:val="0"/>
              <w:jc w:val="center"/>
              <w:rPr>
                <w:rFonts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453" w:type="pct"/>
            <w:vAlign w:val="center"/>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7</w:t>
            </w:r>
          </w:p>
        </w:tc>
        <w:tc>
          <w:tcPr>
            <w:tcW w:w="1184"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水表通讯线</w:t>
            </w:r>
          </w:p>
        </w:tc>
        <w:tc>
          <w:tcPr>
            <w:tcW w:w="952"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RVVSP4*1.0mm²</w:t>
            </w:r>
          </w:p>
        </w:tc>
        <w:tc>
          <w:tcPr>
            <w:tcW w:w="527"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米</w:t>
            </w:r>
          </w:p>
        </w:tc>
        <w:tc>
          <w:tcPr>
            <w:tcW w:w="528" w:type="pct"/>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800</w:t>
            </w:r>
          </w:p>
        </w:tc>
        <w:tc>
          <w:tcPr>
            <w:tcW w:w="1353" w:type="pct"/>
          </w:tcPr>
          <w:p>
            <w:pPr>
              <w:pStyle w:val="57"/>
              <w:adjustRightInd w:val="0"/>
              <w:snapToGrid w:val="0"/>
              <w:jc w:val="center"/>
              <w:rPr>
                <w:rFonts w:ascii="宋体" w:hAnsi="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53" w:type="pct"/>
            <w:vAlign w:val="center"/>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8</w:t>
            </w:r>
          </w:p>
        </w:tc>
        <w:tc>
          <w:tcPr>
            <w:tcW w:w="1184" w:type="pct"/>
            <w:vAlign w:val="center"/>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kern w:val="0"/>
                <w:sz w:val="24"/>
                <w:szCs w:val="24"/>
                <w:highlight w:val="none"/>
              </w:rPr>
              <w:t>数据采集器（网关）</w:t>
            </w:r>
          </w:p>
        </w:tc>
        <w:tc>
          <w:tcPr>
            <w:tcW w:w="952" w:type="pct"/>
          </w:tcPr>
          <w:p>
            <w:pPr>
              <w:pStyle w:val="57"/>
              <w:adjustRightInd w:val="0"/>
              <w:snapToGrid w:val="0"/>
              <w:jc w:val="center"/>
              <w:rPr>
                <w:rFonts w:ascii="宋体" w:hAnsi="宋体" w:cs="宋体"/>
                <w:color w:val="000000"/>
                <w:sz w:val="24"/>
                <w:szCs w:val="24"/>
                <w:highlight w:val="none"/>
              </w:rPr>
            </w:pPr>
          </w:p>
        </w:tc>
        <w:tc>
          <w:tcPr>
            <w:tcW w:w="527"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只</w:t>
            </w:r>
          </w:p>
        </w:tc>
        <w:tc>
          <w:tcPr>
            <w:tcW w:w="528"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2</w:t>
            </w:r>
          </w:p>
        </w:tc>
        <w:tc>
          <w:tcPr>
            <w:tcW w:w="1353" w:type="pct"/>
          </w:tcPr>
          <w:p>
            <w:pPr>
              <w:pStyle w:val="57"/>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rPr>
              <w:t>1期平台和2期平台各1个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 w:type="pct"/>
            <w:vAlign w:val="center"/>
          </w:tcPr>
          <w:p>
            <w:pPr>
              <w:pStyle w:val="57"/>
              <w:adjustRightInd w:val="0"/>
              <w:snapToGrid w:val="0"/>
              <w:jc w:val="center"/>
              <w:rPr>
                <w:rFonts w:ascii="宋体" w:hAnsi="宋体" w:cs="宋体"/>
                <w:color w:val="000000"/>
                <w:sz w:val="24"/>
                <w:szCs w:val="24"/>
                <w:highlight w:val="none"/>
              </w:rPr>
            </w:pPr>
            <w:r>
              <w:rPr>
                <w:rFonts w:ascii="宋体" w:hAnsi="宋体" w:cs="宋体"/>
                <w:color w:val="000000"/>
                <w:sz w:val="24"/>
                <w:szCs w:val="24"/>
                <w:highlight w:val="none"/>
              </w:rPr>
              <w:t>9</w:t>
            </w:r>
          </w:p>
        </w:tc>
        <w:tc>
          <w:tcPr>
            <w:tcW w:w="1184" w:type="pct"/>
          </w:tcPr>
          <w:p>
            <w:pPr>
              <w:pStyle w:val="57"/>
              <w:adjustRightInd w:val="0"/>
              <w:snapToGrid w:val="0"/>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表箱</w:t>
            </w:r>
          </w:p>
        </w:tc>
        <w:tc>
          <w:tcPr>
            <w:tcW w:w="952" w:type="pct"/>
          </w:tcPr>
          <w:p>
            <w:pPr>
              <w:pStyle w:val="57"/>
              <w:adjustRightInd w:val="0"/>
              <w:snapToGrid w:val="0"/>
              <w:jc w:val="center"/>
              <w:rPr>
                <w:rFonts w:ascii="宋体" w:hAnsi="宋体" w:cs="宋体"/>
                <w:color w:val="000000"/>
                <w:sz w:val="24"/>
                <w:szCs w:val="24"/>
                <w:highlight w:val="none"/>
              </w:rPr>
            </w:pPr>
          </w:p>
        </w:tc>
        <w:tc>
          <w:tcPr>
            <w:tcW w:w="527" w:type="pct"/>
          </w:tcPr>
          <w:p>
            <w:pPr>
              <w:pStyle w:val="57"/>
              <w:adjustRightInd w:val="0"/>
              <w:snapToGrid w:val="0"/>
              <w:jc w:val="center"/>
              <w:rPr>
                <w:rFonts w:ascii="宋体" w:hAnsi="宋体" w:cs="宋体"/>
                <w:color w:val="000000"/>
                <w:sz w:val="24"/>
                <w:szCs w:val="24"/>
                <w:highlight w:val="none"/>
              </w:rPr>
            </w:pPr>
          </w:p>
        </w:tc>
        <w:tc>
          <w:tcPr>
            <w:tcW w:w="528" w:type="pct"/>
          </w:tcPr>
          <w:p>
            <w:pPr>
              <w:pStyle w:val="57"/>
              <w:adjustRightInd w:val="0"/>
              <w:snapToGrid w:val="0"/>
              <w:jc w:val="center"/>
              <w:rPr>
                <w:rFonts w:ascii="宋体" w:hAnsi="宋体" w:cs="宋体"/>
                <w:color w:val="000000"/>
                <w:sz w:val="24"/>
                <w:szCs w:val="24"/>
                <w:highlight w:val="none"/>
              </w:rPr>
            </w:pPr>
          </w:p>
        </w:tc>
        <w:tc>
          <w:tcPr>
            <w:tcW w:w="1353" w:type="pct"/>
          </w:tcPr>
          <w:p>
            <w:pPr>
              <w:pStyle w:val="57"/>
              <w:adjustRightInd w:val="0"/>
              <w:snapToGrid w:val="0"/>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与原有宿舍规格一致</w:t>
            </w:r>
          </w:p>
        </w:tc>
      </w:tr>
    </w:tbl>
    <w:p>
      <w:pPr>
        <w:pStyle w:val="3"/>
        <w:snapToGrid w:val="0"/>
        <w:spacing w:before="0" w:after="0"/>
        <w:jc w:val="center"/>
        <w:rPr>
          <w:rFonts w:hint="eastAsia" w:ascii="华文中宋" w:hAnsi="华文中宋" w:eastAsia="华文中宋"/>
          <w:color w:val="000000" w:themeColor="text1"/>
        </w:rPr>
      </w:pPr>
    </w:p>
    <w:p>
      <w:pPr>
        <w:rPr>
          <w:rFonts w:hint="eastAsia" w:ascii="华文中宋" w:hAnsi="华文中宋" w:eastAsia="华文中宋"/>
          <w:color w:val="000000" w:themeColor="text1"/>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ind w:left="0" w:leftChars="0" w:firstLine="0" w:firstLineChars="0"/>
        <w:rPr>
          <w:rFonts w:hint="eastAsia"/>
        </w:rPr>
      </w:pPr>
    </w:p>
    <w:p>
      <w:pPr>
        <w:pStyle w:val="10"/>
        <w:rPr>
          <w:rFonts w:hint="eastAsia"/>
        </w:rPr>
      </w:pPr>
    </w:p>
    <w:p>
      <w:pPr>
        <w:pStyle w:val="3"/>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1"/>
      <w:bookmarkEnd w:id="112"/>
    </w:p>
    <w:p>
      <w:pPr>
        <w:adjustRightInd w:val="0"/>
        <w:snapToGrid w:val="0"/>
        <w:spacing w:line="360" w:lineRule="auto"/>
        <w:ind w:firstLine="560" w:firstLineChars="200"/>
        <w:rPr>
          <w:rFonts w:hint="eastAsia" w:ascii="仿宋_GB2312" w:eastAsia="仿宋_GB2312"/>
          <w:szCs w:val="28"/>
        </w:rPr>
      </w:pPr>
      <w:bookmarkStart w:id="114" w:name="_Toc479170305"/>
      <w:bookmarkStart w:id="115" w:name="_Toc516580575"/>
    </w:p>
    <w:p>
      <w:pPr>
        <w:spacing w:line="360" w:lineRule="auto"/>
        <w:ind w:firstLine="482" w:firstLineChars="200"/>
        <w:rPr>
          <w:rFonts w:ascii="仿宋" w:hAnsi="仿宋" w:eastAsia="仿宋" w:cs="仿宋"/>
          <w:b/>
          <w:sz w:val="24"/>
        </w:rPr>
      </w:pPr>
      <w:r>
        <w:rPr>
          <w:rFonts w:hint="eastAsia" w:ascii="仿宋" w:hAnsi="仿宋" w:eastAsia="仿宋" w:cs="仿宋"/>
          <w:b/>
          <w:sz w:val="24"/>
        </w:rPr>
        <w:t xml:space="preserve">1.评审原则 </w:t>
      </w:r>
    </w:p>
    <w:p>
      <w:pPr>
        <w:spacing w:line="360" w:lineRule="auto"/>
        <w:ind w:firstLine="480" w:firstLineChars="200"/>
        <w:rPr>
          <w:rFonts w:ascii="仿宋" w:hAnsi="仿宋" w:eastAsia="仿宋" w:cs="仿宋"/>
          <w:sz w:val="24"/>
        </w:rPr>
      </w:pPr>
      <w:r>
        <w:rPr>
          <w:rFonts w:hint="eastAsia" w:ascii="仿宋" w:hAnsi="仿宋" w:eastAsia="仿宋" w:cs="仿宋"/>
          <w:sz w:val="24"/>
        </w:rPr>
        <w:t>1.1合法、合规原则。</w:t>
      </w:r>
    </w:p>
    <w:p>
      <w:pPr>
        <w:spacing w:line="360" w:lineRule="auto"/>
        <w:ind w:firstLine="480" w:firstLineChars="200"/>
        <w:rPr>
          <w:rFonts w:ascii="仿宋" w:hAnsi="仿宋" w:eastAsia="仿宋" w:cs="仿宋"/>
          <w:sz w:val="24"/>
        </w:rPr>
      </w:pPr>
      <w:r>
        <w:rPr>
          <w:rFonts w:hint="eastAsia" w:ascii="仿宋" w:hAnsi="仿宋" w:eastAsia="仿宋" w:cs="仿宋"/>
          <w:sz w:val="24"/>
        </w:rPr>
        <w:t>1.2公平、公正、科学、审慎、择优原则。</w:t>
      </w:r>
    </w:p>
    <w:p>
      <w:pPr>
        <w:spacing w:line="360" w:lineRule="auto"/>
        <w:ind w:firstLine="480" w:firstLineChars="200"/>
        <w:rPr>
          <w:rFonts w:ascii="仿宋" w:hAnsi="仿宋" w:eastAsia="仿宋" w:cs="仿宋"/>
          <w:sz w:val="24"/>
        </w:rPr>
      </w:pPr>
      <w:r>
        <w:rPr>
          <w:rFonts w:hint="eastAsia" w:ascii="仿宋" w:hAnsi="仿宋" w:eastAsia="仿宋" w:cs="仿宋"/>
          <w:sz w:val="24"/>
        </w:rPr>
        <w:t>1.3高分优先原则。衡量投标文件满足招标文件规定各项评审标准的程度，折算为综合得分分值，依据每个供应商的综合得分由高到低，依次确定排名顺序。</w:t>
      </w:r>
    </w:p>
    <w:p>
      <w:pPr>
        <w:spacing w:line="360" w:lineRule="auto"/>
        <w:ind w:firstLine="482" w:firstLineChars="200"/>
        <w:rPr>
          <w:rFonts w:ascii="仿宋" w:hAnsi="仿宋" w:eastAsia="仿宋" w:cs="仿宋"/>
          <w:b/>
          <w:sz w:val="24"/>
        </w:rPr>
      </w:pPr>
      <w:r>
        <w:rPr>
          <w:rFonts w:hint="eastAsia" w:ascii="仿宋" w:hAnsi="仿宋" w:eastAsia="仿宋" w:cs="仿宋"/>
          <w:b/>
          <w:sz w:val="24"/>
        </w:rPr>
        <w:t>2.评审分值分配(满分100分)</w:t>
      </w:r>
    </w:p>
    <w:p>
      <w:pPr>
        <w:spacing w:line="360" w:lineRule="auto"/>
        <w:ind w:firstLine="480" w:firstLineChars="200"/>
        <w:rPr>
          <w:rFonts w:ascii="仿宋" w:hAnsi="仿宋" w:eastAsia="仿宋" w:cs="仿宋"/>
          <w:sz w:val="24"/>
        </w:rPr>
      </w:pPr>
      <w:r>
        <w:rPr>
          <w:rFonts w:hint="eastAsia" w:ascii="仿宋" w:hAnsi="仿宋" w:eastAsia="仿宋" w:cs="仿宋"/>
          <w:sz w:val="24"/>
        </w:rPr>
        <w:t>2.1商务标（</w:t>
      </w:r>
      <w:r>
        <w:rPr>
          <w:rFonts w:hint="eastAsia" w:ascii="仿宋" w:hAnsi="仿宋" w:eastAsia="仿宋" w:cs="仿宋"/>
          <w:sz w:val="24"/>
          <w:lang w:val="en-US" w:eastAsia="zh-CN"/>
        </w:rPr>
        <w:t>7</w:t>
      </w:r>
      <w:r>
        <w:rPr>
          <w:rFonts w:hint="eastAsia" w:ascii="仿宋" w:hAnsi="仿宋" w:eastAsia="仿宋" w:cs="仿宋"/>
          <w:sz w:val="24"/>
        </w:rPr>
        <w:t>5分）</w:t>
      </w:r>
    </w:p>
    <w:p>
      <w:pPr>
        <w:spacing w:line="360" w:lineRule="auto"/>
        <w:ind w:firstLine="480" w:firstLineChars="200"/>
        <w:rPr>
          <w:rFonts w:ascii="仿宋" w:hAnsi="仿宋" w:eastAsia="仿宋" w:cs="仿宋"/>
          <w:sz w:val="24"/>
        </w:rPr>
      </w:pPr>
      <w:r>
        <w:rPr>
          <w:rFonts w:hint="eastAsia" w:ascii="仿宋" w:hAnsi="仿宋" w:eastAsia="仿宋" w:cs="仿宋"/>
          <w:sz w:val="24"/>
        </w:rPr>
        <w:t>2.2技术标（</w:t>
      </w:r>
      <w:r>
        <w:rPr>
          <w:rFonts w:hint="eastAsia" w:ascii="仿宋" w:hAnsi="仿宋" w:eastAsia="仿宋" w:cs="仿宋"/>
          <w:sz w:val="24"/>
          <w:lang w:val="en-US" w:eastAsia="zh-CN"/>
        </w:rPr>
        <w:t>2</w:t>
      </w:r>
      <w:r>
        <w:rPr>
          <w:rFonts w:hint="eastAsia" w:ascii="仿宋" w:hAnsi="仿宋" w:eastAsia="仿宋" w:cs="仿宋"/>
          <w:sz w:val="24"/>
        </w:rPr>
        <w:t>5分）</w:t>
      </w:r>
    </w:p>
    <w:p>
      <w:pPr>
        <w:spacing w:line="360" w:lineRule="auto"/>
        <w:ind w:firstLine="480" w:firstLineChars="200"/>
        <w:rPr>
          <w:rFonts w:ascii="仿宋" w:hAnsi="仿宋" w:eastAsia="仿宋" w:cs="仿宋"/>
          <w:sz w:val="24"/>
        </w:rPr>
      </w:pPr>
      <w:r>
        <w:rPr>
          <w:rFonts w:hint="eastAsia" w:ascii="仿宋" w:hAnsi="仿宋" w:eastAsia="仿宋" w:cs="仿宋"/>
          <w:sz w:val="24"/>
        </w:rPr>
        <w:t>商务标评审内容及标准（</w:t>
      </w:r>
      <w:r>
        <w:rPr>
          <w:rFonts w:hint="eastAsia" w:ascii="仿宋" w:hAnsi="仿宋" w:eastAsia="仿宋" w:cs="仿宋"/>
          <w:sz w:val="24"/>
          <w:lang w:val="en-US" w:eastAsia="zh-CN"/>
        </w:rPr>
        <w:t>7</w:t>
      </w:r>
      <w:r>
        <w:rPr>
          <w:rFonts w:ascii="仿宋" w:hAnsi="仿宋" w:eastAsia="仿宋" w:cs="仿宋"/>
          <w:sz w:val="24"/>
        </w:rPr>
        <w:t>5</w:t>
      </w:r>
      <w:r>
        <w:rPr>
          <w:rFonts w:hint="eastAsia" w:ascii="仿宋" w:hAnsi="仿宋" w:eastAsia="仿宋" w:cs="仿宋"/>
          <w:sz w:val="24"/>
        </w:rPr>
        <w:t>分）</w:t>
      </w:r>
    </w:p>
    <w:tbl>
      <w:tblPr>
        <w:tblStyle w:val="24"/>
        <w:tblW w:w="5000" w:type="pct"/>
        <w:tblInd w:w="0" w:type="dxa"/>
        <w:tblLayout w:type="autofit"/>
        <w:tblCellMar>
          <w:top w:w="0" w:type="dxa"/>
          <w:left w:w="108" w:type="dxa"/>
          <w:bottom w:w="0" w:type="dxa"/>
          <w:right w:w="108" w:type="dxa"/>
        </w:tblCellMar>
      </w:tblPr>
      <w:tblGrid>
        <w:gridCol w:w="1275"/>
        <w:gridCol w:w="1275"/>
        <w:gridCol w:w="5972"/>
      </w:tblGrid>
      <w:tr>
        <w:tblPrEx>
          <w:tblCellMar>
            <w:top w:w="0" w:type="dxa"/>
            <w:left w:w="108" w:type="dxa"/>
            <w:bottom w:w="0" w:type="dxa"/>
            <w:right w:w="108" w:type="dxa"/>
          </w:tblCellMar>
        </w:tblPrEx>
        <w:trPr>
          <w:trHeight w:val="280" w:hRule="atLeast"/>
        </w:trPr>
        <w:tc>
          <w:tcPr>
            <w:tcW w:w="5000" w:type="pct"/>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商务评审内容及标准</w:t>
            </w:r>
          </w:p>
        </w:tc>
      </w:tr>
      <w:tr>
        <w:tblPrEx>
          <w:tblCellMar>
            <w:top w:w="0" w:type="dxa"/>
            <w:left w:w="108" w:type="dxa"/>
            <w:bottom w:w="0" w:type="dxa"/>
            <w:right w:w="108" w:type="dxa"/>
          </w:tblCellMar>
        </w:tblPrEx>
        <w:trPr>
          <w:trHeight w:val="280" w:hRule="atLeast"/>
        </w:trPr>
        <w:tc>
          <w:tcPr>
            <w:tcW w:w="74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评审项目</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分值</w:t>
            </w:r>
          </w:p>
        </w:tc>
        <w:tc>
          <w:tcPr>
            <w:tcW w:w="3503"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评审依据</w:t>
            </w:r>
          </w:p>
        </w:tc>
      </w:tr>
      <w:tr>
        <w:tblPrEx>
          <w:tblCellMar>
            <w:top w:w="0" w:type="dxa"/>
            <w:left w:w="108" w:type="dxa"/>
            <w:bottom w:w="0" w:type="dxa"/>
            <w:right w:w="108" w:type="dxa"/>
          </w:tblCellMar>
        </w:tblPrEx>
        <w:trPr>
          <w:trHeight w:val="2160" w:hRule="atLeast"/>
        </w:trPr>
        <w:tc>
          <w:tcPr>
            <w:tcW w:w="74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投标报价</w:t>
            </w:r>
          </w:p>
        </w:tc>
        <w:tc>
          <w:tcPr>
            <w:tcW w:w="748" w:type="pct"/>
            <w:tcBorders>
              <w:top w:val="nil"/>
              <w:left w:val="nil"/>
              <w:bottom w:val="nil"/>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50</w:t>
            </w:r>
            <w:r>
              <w:rPr>
                <w:rFonts w:hint="eastAsia" w:ascii="仿宋" w:hAnsi="仿宋" w:eastAsia="仿宋" w:cs="宋体"/>
                <w:kern w:val="0"/>
                <w:szCs w:val="21"/>
              </w:rPr>
              <w:t>分</w:t>
            </w:r>
          </w:p>
        </w:tc>
        <w:tc>
          <w:tcPr>
            <w:tcW w:w="3503" w:type="pct"/>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p>
          <w:p>
            <w:pPr>
              <w:widowControl/>
              <w:rPr>
                <w:rFonts w:ascii="仿宋" w:hAnsi="仿宋" w:eastAsia="仿宋" w:cs="宋体"/>
                <w:b/>
                <w:bCs/>
                <w:kern w:val="0"/>
                <w:szCs w:val="21"/>
              </w:rPr>
            </w:pPr>
            <w:r>
              <w:rPr>
                <w:rFonts w:hint="eastAsia" w:ascii="仿宋" w:hAnsi="仿宋" w:eastAsia="仿宋" w:cs="宋体"/>
                <w:b/>
                <w:bCs/>
                <w:kern w:val="0"/>
                <w:szCs w:val="21"/>
                <w:lang w:val="en-US" w:eastAsia="zh-CN"/>
              </w:rPr>
              <w:t>1</w:t>
            </w:r>
            <w:r>
              <w:rPr>
                <w:rFonts w:hint="eastAsia" w:ascii="仿宋" w:hAnsi="仿宋" w:eastAsia="仿宋" w:cs="宋体"/>
                <w:b/>
                <w:bCs/>
                <w:kern w:val="0"/>
                <w:szCs w:val="21"/>
              </w:rPr>
              <w:t>.评标基准价：评标价最低的为评标基准价。</w:t>
            </w:r>
          </w:p>
          <w:p>
            <w:pPr>
              <w:widowControl/>
              <w:rPr>
                <w:rFonts w:ascii="仿宋" w:hAnsi="仿宋" w:eastAsia="仿宋" w:cs="宋体"/>
                <w:b/>
                <w:bCs/>
                <w:kern w:val="0"/>
                <w:szCs w:val="21"/>
              </w:rPr>
            </w:pPr>
            <w:r>
              <w:rPr>
                <w:rFonts w:hint="eastAsia" w:ascii="仿宋" w:hAnsi="仿宋" w:eastAsia="仿宋" w:cs="宋体"/>
                <w:b/>
                <w:bCs/>
                <w:kern w:val="0"/>
                <w:szCs w:val="21"/>
                <w:lang w:val="en-US" w:eastAsia="zh-CN"/>
              </w:rPr>
              <w:t>2.</w:t>
            </w:r>
            <w:r>
              <w:rPr>
                <w:rFonts w:hint="eastAsia" w:ascii="仿宋" w:hAnsi="仿宋" w:eastAsia="仿宋" w:cs="宋体"/>
                <w:b/>
                <w:bCs/>
                <w:kern w:val="0"/>
                <w:szCs w:val="21"/>
              </w:rPr>
              <w:t>投标报价得分计算：评标价为评标基准价的得满分</w:t>
            </w:r>
            <w:r>
              <w:rPr>
                <w:rFonts w:hint="eastAsia" w:ascii="仿宋" w:hAnsi="仿宋" w:eastAsia="仿宋" w:cs="宋体"/>
                <w:b/>
                <w:bCs/>
                <w:kern w:val="0"/>
                <w:szCs w:val="21"/>
                <w:lang w:val="en-US" w:eastAsia="zh-CN"/>
              </w:rPr>
              <w:t>50</w:t>
            </w:r>
            <w:r>
              <w:rPr>
                <w:rFonts w:hint="eastAsia" w:ascii="仿宋" w:hAnsi="仿宋" w:eastAsia="仿宋" w:cs="宋体"/>
                <w:b/>
                <w:bCs/>
                <w:kern w:val="0"/>
                <w:szCs w:val="21"/>
              </w:rPr>
              <w:t>分。其他供应商的投标报价得分统一按下列公式计算：投标报价得分=（评标基准价/评标价）*</w:t>
            </w:r>
            <w:r>
              <w:rPr>
                <w:rFonts w:hint="eastAsia" w:ascii="仿宋" w:hAnsi="仿宋" w:eastAsia="仿宋" w:cs="宋体"/>
                <w:b/>
                <w:bCs/>
                <w:kern w:val="0"/>
                <w:szCs w:val="21"/>
                <w:lang w:val="en-US" w:eastAsia="zh-CN"/>
              </w:rPr>
              <w:t>50</w:t>
            </w:r>
            <w:r>
              <w:rPr>
                <w:rFonts w:hint="eastAsia" w:ascii="仿宋" w:hAnsi="仿宋" w:eastAsia="仿宋" w:cs="宋体"/>
                <w:b/>
                <w:bCs/>
                <w:kern w:val="0"/>
                <w:szCs w:val="21"/>
              </w:rPr>
              <w:t>。（保留小数点后两位，第三位四舍五入）</w:t>
            </w:r>
          </w:p>
          <w:p>
            <w:pPr>
              <w:widowControl/>
              <w:rPr>
                <w:rFonts w:ascii="仿宋" w:hAnsi="仿宋" w:eastAsia="仿宋" w:cs="宋体"/>
                <w:kern w:val="0"/>
                <w:szCs w:val="21"/>
              </w:rPr>
            </w:pPr>
          </w:p>
        </w:tc>
      </w:tr>
      <w:tr>
        <w:tblPrEx>
          <w:tblCellMar>
            <w:top w:w="0" w:type="dxa"/>
            <w:left w:w="108" w:type="dxa"/>
            <w:bottom w:w="0" w:type="dxa"/>
            <w:right w:w="108" w:type="dxa"/>
          </w:tblCellMar>
        </w:tblPrEx>
        <w:trPr>
          <w:trHeight w:val="540" w:hRule="atLeast"/>
        </w:trPr>
        <w:tc>
          <w:tcPr>
            <w:tcW w:w="74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投标人综合实力</w:t>
            </w:r>
          </w:p>
        </w:tc>
        <w:tc>
          <w:tcPr>
            <w:tcW w:w="74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16</w:t>
            </w:r>
            <w:r>
              <w:rPr>
                <w:rFonts w:hint="eastAsia" w:ascii="仿宋" w:hAnsi="仿宋" w:eastAsia="仿宋" w:cs="宋体"/>
                <w:kern w:val="0"/>
                <w:szCs w:val="21"/>
              </w:rPr>
              <w:t>分</w:t>
            </w:r>
          </w:p>
        </w:tc>
        <w:tc>
          <w:tcPr>
            <w:tcW w:w="3503" w:type="pct"/>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1、具有经国家认证认可监督管理委员会认证机构颁发的IT 服务管理体系认证的得</w:t>
            </w:r>
            <w:r>
              <w:rPr>
                <w:rFonts w:hint="eastAsia" w:ascii="仿宋" w:hAnsi="仿宋" w:eastAsia="仿宋" w:cs="宋体"/>
                <w:kern w:val="0"/>
                <w:szCs w:val="21"/>
                <w:lang w:val="en-US" w:eastAsia="zh-CN"/>
              </w:rPr>
              <w:t>2</w:t>
            </w:r>
            <w:r>
              <w:rPr>
                <w:rFonts w:hint="eastAsia" w:ascii="仿宋" w:hAnsi="仿宋" w:eastAsia="仿宋" w:cs="宋体"/>
                <w:kern w:val="0"/>
                <w:szCs w:val="21"/>
              </w:rPr>
              <w:t>分，没有不得分；</w:t>
            </w:r>
          </w:p>
        </w:tc>
      </w:tr>
      <w:tr>
        <w:tblPrEx>
          <w:tblCellMar>
            <w:top w:w="0" w:type="dxa"/>
            <w:left w:w="108" w:type="dxa"/>
            <w:bottom w:w="0" w:type="dxa"/>
            <w:right w:w="108" w:type="dxa"/>
          </w:tblCellMar>
        </w:tblPrEx>
        <w:trPr>
          <w:trHeight w:val="54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2、具有经国家认证认可监督管理委员会认证机构颁发的信息安全管理体系认证的得</w:t>
            </w:r>
            <w:r>
              <w:rPr>
                <w:rFonts w:hint="eastAsia" w:ascii="仿宋" w:hAnsi="仿宋" w:eastAsia="仿宋" w:cs="宋体"/>
                <w:kern w:val="0"/>
                <w:szCs w:val="21"/>
                <w:lang w:val="en-US" w:eastAsia="zh-CN"/>
              </w:rPr>
              <w:t>2</w:t>
            </w:r>
            <w:r>
              <w:rPr>
                <w:rFonts w:hint="eastAsia" w:ascii="仿宋" w:hAnsi="仿宋" w:eastAsia="仿宋" w:cs="宋体"/>
                <w:kern w:val="0"/>
                <w:szCs w:val="21"/>
              </w:rPr>
              <w:t>分，没有不得分；</w:t>
            </w:r>
          </w:p>
        </w:tc>
      </w:tr>
      <w:tr>
        <w:tblPrEx>
          <w:tblCellMar>
            <w:top w:w="0" w:type="dxa"/>
            <w:left w:w="108" w:type="dxa"/>
            <w:bottom w:w="0" w:type="dxa"/>
            <w:right w:w="108" w:type="dxa"/>
          </w:tblCellMar>
        </w:tblPrEx>
        <w:trPr>
          <w:trHeight w:val="54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3、投标人具有信息系统安全集成服务资质认证一级的得</w:t>
            </w:r>
            <w:r>
              <w:rPr>
                <w:rFonts w:hint="eastAsia" w:ascii="仿宋" w:hAnsi="仿宋" w:eastAsia="仿宋" w:cs="宋体"/>
                <w:kern w:val="0"/>
                <w:szCs w:val="21"/>
                <w:lang w:val="en-US" w:eastAsia="zh-CN"/>
              </w:rPr>
              <w:t>2</w:t>
            </w:r>
            <w:r>
              <w:rPr>
                <w:rFonts w:hint="eastAsia" w:ascii="仿宋" w:hAnsi="仿宋" w:eastAsia="仿宋" w:cs="宋体"/>
                <w:kern w:val="0"/>
                <w:szCs w:val="21"/>
              </w:rPr>
              <w:t>分，二级的得1分，其他不得分；</w:t>
            </w:r>
          </w:p>
        </w:tc>
      </w:tr>
      <w:tr>
        <w:tblPrEx>
          <w:tblCellMar>
            <w:top w:w="0" w:type="dxa"/>
            <w:left w:w="108" w:type="dxa"/>
            <w:bottom w:w="0" w:type="dxa"/>
            <w:right w:w="108" w:type="dxa"/>
          </w:tblCellMar>
        </w:tblPrEx>
        <w:trPr>
          <w:trHeight w:val="22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hint="eastAsia" w:ascii="仿宋" w:hAnsi="仿宋" w:eastAsia="仿宋" w:cs="宋体"/>
                <w:kern w:val="0"/>
                <w:szCs w:val="21"/>
                <w:lang w:eastAsia="zh-CN"/>
              </w:rPr>
            </w:pPr>
            <w:r>
              <w:rPr>
                <w:rFonts w:hint="eastAsia" w:ascii="仿宋" w:hAnsi="仿宋" w:eastAsia="仿宋" w:cs="宋体"/>
                <w:kern w:val="0"/>
                <w:szCs w:val="21"/>
              </w:rPr>
              <w:t>4、具有软件成熟度模型CMMI五级资质证书及及SJ/T 11235软件能力成熟度模型等级，五级得3分，四级得1分，其他不得分</w:t>
            </w:r>
            <w:r>
              <w:rPr>
                <w:rFonts w:hint="eastAsia" w:ascii="仿宋" w:hAnsi="仿宋" w:eastAsia="仿宋" w:cs="宋体"/>
                <w:kern w:val="0"/>
                <w:szCs w:val="21"/>
                <w:lang w:eastAsia="zh-CN"/>
              </w:rPr>
              <w:t>；</w:t>
            </w:r>
          </w:p>
        </w:tc>
      </w:tr>
      <w:tr>
        <w:tblPrEx>
          <w:tblCellMar>
            <w:top w:w="0" w:type="dxa"/>
            <w:left w:w="108" w:type="dxa"/>
            <w:bottom w:w="0" w:type="dxa"/>
            <w:right w:w="108" w:type="dxa"/>
          </w:tblCellMar>
        </w:tblPrEx>
        <w:trPr>
          <w:trHeight w:val="45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hint="eastAsia" w:ascii="仿宋" w:hAnsi="仿宋" w:eastAsia="仿宋" w:cs="宋体"/>
                <w:kern w:val="0"/>
                <w:szCs w:val="21"/>
                <w:lang w:eastAsia="zh-CN"/>
              </w:rPr>
            </w:pPr>
            <w:r>
              <w:rPr>
                <w:rFonts w:hint="eastAsia" w:ascii="仿宋" w:hAnsi="仿宋" w:eastAsia="仿宋" w:cs="宋体"/>
                <w:kern w:val="0"/>
                <w:szCs w:val="21"/>
              </w:rPr>
              <w:t>5、具有信息技术服务运行维护标准符合性证书 ITSS-贰级及以上的，得</w:t>
            </w:r>
            <w:r>
              <w:rPr>
                <w:rFonts w:hint="eastAsia" w:ascii="仿宋" w:hAnsi="仿宋" w:eastAsia="仿宋" w:cs="宋体"/>
                <w:kern w:val="0"/>
                <w:szCs w:val="21"/>
                <w:lang w:val="en-US" w:eastAsia="zh-CN"/>
              </w:rPr>
              <w:t>3</w:t>
            </w:r>
            <w:r>
              <w:rPr>
                <w:rFonts w:hint="eastAsia" w:ascii="仿宋" w:hAnsi="仿宋" w:eastAsia="仿宋" w:cs="宋体"/>
                <w:kern w:val="0"/>
                <w:szCs w:val="21"/>
              </w:rPr>
              <w:t>分</w:t>
            </w:r>
            <w:r>
              <w:rPr>
                <w:rFonts w:hint="eastAsia" w:ascii="仿宋" w:hAnsi="仿宋" w:eastAsia="仿宋" w:cs="宋体"/>
                <w:kern w:val="0"/>
                <w:szCs w:val="21"/>
                <w:lang w:eastAsia="zh-CN"/>
              </w:rPr>
              <w:t>；</w:t>
            </w:r>
          </w:p>
        </w:tc>
      </w:tr>
      <w:tr>
        <w:tblPrEx>
          <w:tblCellMar>
            <w:top w:w="0" w:type="dxa"/>
            <w:left w:w="108" w:type="dxa"/>
            <w:bottom w:w="0" w:type="dxa"/>
            <w:right w:w="108" w:type="dxa"/>
          </w:tblCellMar>
        </w:tblPrEx>
        <w:trPr>
          <w:trHeight w:val="28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hint="eastAsia" w:ascii="仿宋" w:hAnsi="仿宋" w:eastAsia="仿宋" w:cs="宋体"/>
                <w:kern w:val="0"/>
                <w:szCs w:val="21"/>
                <w:lang w:eastAsia="zh-CN"/>
              </w:rPr>
            </w:pPr>
            <w:r>
              <w:rPr>
                <w:rFonts w:hint="eastAsia" w:ascii="仿宋" w:hAnsi="仿宋" w:eastAsia="仿宋" w:cs="宋体"/>
                <w:kern w:val="0"/>
                <w:szCs w:val="21"/>
              </w:rPr>
              <w:t>6、具有高新技术企业认证的，得</w:t>
            </w:r>
            <w:r>
              <w:rPr>
                <w:rFonts w:hint="eastAsia" w:ascii="仿宋" w:hAnsi="仿宋" w:eastAsia="仿宋" w:cs="宋体"/>
                <w:kern w:val="0"/>
                <w:szCs w:val="21"/>
                <w:lang w:val="en-US" w:eastAsia="zh-CN"/>
              </w:rPr>
              <w:t>2</w:t>
            </w:r>
            <w:r>
              <w:rPr>
                <w:rFonts w:hint="eastAsia" w:ascii="仿宋" w:hAnsi="仿宋" w:eastAsia="仿宋" w:cs="宋体"/>
                <w:kern w:val="0"/>
                <w:szCs w:val="21"/>
              </w:rPr>
              <w:t>分</w:t>
            </w:r>
            <w:r>
              <w:rPr>
                <w:rFonts w:hint="eastAsia" w:ascii="仿宋" w:hAnsi="仿宋" w:eastAsia="仿宋" w:cs="宋体"/>
                <w:kern w:val="0"/>
                <w:szCs w:val="21"/>
                <w:lang w:eastAsia="zh-CN"/>
              </w:rPr>
              <w:t>；</w:t>
            </w:r>
          </w:p>
        </w:tc>
      </w:tr>
      <w:tr>
        <w:tblPrEx>
          <w:tblCellMar>
            <w:top w:w="0" w:type="dxa"/>
            <w:left w:w="108" w:type="dxa"/>
            <w:bottom w:w="0" w:type="dxa"/>
            <w:right w:w="108" w:type="dxa"/>
          </w:tblCellMar>
        </w:tblPrEx>
        <w:trPr>
          <w:trHeight w:val="28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pStyle w:val="11"/>
              <w:rPr>
                <w:rFonts w:ascii="仿宋" w:hAnsi="仿宋" w:eastAsia="仿宋" w:cs="宋体"/>
                <w:kern w:val="0"/>
                <w:szCs w:val="21"/>
              </w:rPr>
            </w:pPr>
            <w:r>
              <w:rPr>
                <w:rFonts w:hint="eastAsia" w:ascii="仿宋" w:hAnsi="仿宋" w:eastAsia="仿宋" w:cs="宋体"/>
                <w:kern w:val="0"/>
                <w:szCs w:val="21"/>
              </w:rPr>
              <w:t>7、投标人获得省级及以上认定的企业技术中心证书的，得</w:t>
            </w:r>
            <w:r>
              <w:rPr>
                <w:rFonts w:hint="eastAsia" w:ascii="仿宋" w:hAnsi="仿宋" w:eastAsia="仿宋" w:cs="宋体"/>
                <w:kern w:val="0"/>
                <w:szCs w:val="21"/>
                <w:lang w:val="en-US" w:eastAsia="zh-CN"/>
              </w:rPr>
              <w:t>2</w:t>
            </w:r>
            <w:r>
              <w:rPr>
                <w:rFonts w:hint="eastAsia" w:ascii="仿宋" w:hAnsi="仿宋" w:eastAsia="仿宋" w:cs="宋体"/>
                <w:kern w:val="0"/>
                <w:szCs w:val="21"/>
              </w:rPr>
              <w:t>分；</w:t>
            </w:r>
          </w:p>
        </w:tc>
      </w:tr>
      <w:tr>
        <w:tblPrEx>
          <w:tblCellMar>
            <w:top w:w="0" w:type="dxa"/>
            <w:left w:w="108" w:type="dxa"/>
            <w:bottom w:w="0" w:type="dxa"/>
            <w:right w:w="108" w:type="dxa"/>
          </w:tblCellMar>
        </w:tblPrEx>
        <w:trPr>
          <w:trHeight w:val="280" w:hRule="atLeast"/>
        </w:trPr>
        <w:tc>
          <w:tcPr>
            <w:tcW w:w="748" w:type="pct"/>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kern w:val="0"/>
                <w:szCs w:val="21"/>
              </w:rPr>
            </w:pPr>
          </w:p>
        </w:tc>
        <w:tc>
          <w:tcPr>
            <w:tcW w:w="74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503" w:type="pct"/>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b/>
                <w:bCs/>
                <w:kern w:val="0"/>
                <w:szCs w:val="21"/>
              </w:rPr>
            </w:pPr>
            <w:r>
              <w:rPr>
                <w:rFonts w:hint="eastAsia" w:ascii="仿宋" w:hAnsi="仿宋" w:eastAsia="仿宋" w:cs="宋体"/>
                <w:b/>
                <w:bCs/>
                <w:kern w:val="0"/>
                <w:szCs w:val="21"/>
              </w:rPr>
              <w:t>注：以上投标文件中均须提供证书复印件或扫描件并加盖公章</w:t>
            </w:r>
          </w:p>
        </w:tc>
      </w:tr>
      <w:tr>
        <w:tblPrEx>
          <w:tblCellMar>
            <w:top w:w="0" w:type="dxa"/>
            <w:left w:w="108" w:type="dxa"/>
            <w:bottom w:w="0" w:type="dxa"/>
            <w:right w:w="108" w:type="dxa"/>
          </w:tblCellMar>
        </w:tblPrEx>
        <w:trPr>
          <w:trHeight w:val="1040" w:hRule="atLeast"/>
        </w:trPr>
        <w:tc>
          <w:tcPr>
            <w:tcW w:w="74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类似项目业绩</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9</w:t>
            </w:r>
            <w:r>
              <w:rPr>
                <w:rFonts w:hint="eastAsia" w:ascii="仿宋" w:hAnsi="仿宋" w:eastAsia="仿宋" w:cs="宋体"/>
                <w:kern w:val="0"/>
                <w:szCs w:val="21"/>
              </w:rPr>
              <w:t>分</w:t>
            </w:r>
          </w:p>
        </w:tc>
        <w:tc>
          <w:tcPr>
            <w:tcW w:w="3503" w:type="pct"/>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kern w:val="0"/>
                <w:szCs w:val="21"/>
                <w:lang w:eastAsia="zh-CN"/>
              </w:rPr>
            </w:pPr>
            <w:r>
              <w:rPr>
                <w:rFonts w:hint="eastAsia" w:ascii="仿宋" w:hAnsi="仿宋" w:eastAsia="仿宋" w:cs="宋体"/>
                <w:kern w:val="0"/>
                <w:szCs w:val="21"/>
              </w:rPr>
              <w:t>自2019年至今（以合同签订日期为准），投标人每有1个节能监管类建设或运维业绩的，得</w:t>
            </w:r>
            <w:r>
              <w:rPr>
                <w:rFonts w:hint="eastAsia" w:ascii="仿宋" w:hAnsi="仿宋" w:eastAsia="仿宋" w:cs="宋体"/>
                <w:kern w:val="0"/>
                <w:szCs w:val="21"/>
                <w:lang w:val="en-US" w:eastAsia="zh-CN"/>
              </w:rPr>
              <w:t>3</w:t>
            </w:r>
            <w:r>
              <w:rPr>
                <w:rFonts w:hint="eastAsia" w:ascii="仿宋" w:hAnsi="仿宋" w:eastAsia="仿宋" w:cs="宋体"/>
                <w:kern w:val="0"/>
                <w:szCs w:val="21"/>
              </w:rPr>
              <w:t>分，最多得</w:t>
            </w:r>
            <w:r>
              <w:rPr>
                <w:rFonts w:hint="eastAsia" w:ascii="仿宋" w:hAnsi="仿宋" w:eastAsia="仿宋" w:cs="宋体"/>
                <w:kern w:val="0"/>
                <w:szCs w:val="21"/>
                <w:lang w:val="en-US" w:eastAsia="zh-CN"/>
              </w:rPr>
              <w:t>9</w:t>
            </w:r>
            <w:r>
              <w:rPr>
                <w:rFonts w:hint="eastAsia" w:ascii="仿宋" w:hAnsi="仿宋" w:eastAsia="仿宋" w:cs="宋体"/>
                <w:kern w:val="0"/>
                <w:szCs w:val="21"/>
              </w:rPr>
              <w:t>分。</w:t>
            </w:r>
          </w:p>
          <w:p>
            <w:pPr>
              <w:widowControl/>
              <w:jc w:val="left"/>
              <w:rPr>
                <w:rFonts w:ascii="仿宋" w:hAnsi="仿宋" w:eastAsia="仿宋" w:cs="宋体"/>
                <w:kern w:val="0"/>
                <w:szCs w:val="21"/>
              </w:rPr>
            </w:pPr>
            <w:r>
              <w:rPr>
                <w:rFonts w:hint="eastAsia" w:ascii="仿宋" w:hAnsi="仿宋" w:eastAsia="仿宋" w:cs="宋体"/>
                <w:b/>
                <w:bCs/>
                <w:kern w:val="0"/>
                <w:szCs w:val="21"/>
              </w:rPr>
              <w:t>注：</w:t>
            </w:r>
            <w:r>
              <w:rPr>
                <w:rFonts w:hint="eastAsia" w:ascii="仿宋" w:hAnsi="仿宋" w:eastAsia="仿宋" w:cs="仿宋"/>
              </w:rPr>
              <w:t>（投标文件中须提供业绩合同，签订时间以业绩合同为准，复印件或扫描件应能辨识买卖双方公章、签订时间，并加盖供应商公章；如业绩合同不能体现以上全部内容，可提供业绩合同甲方加盖公章的证明复印件或扫描件。否则，不得分）</w:t>
            </w:r>
            <w:r>
              <w:rPr>
                <w:rFonts w:hint="eastAsia" w:ascii="仿宋" w:hAnsi="仿宋" w:eastAsia="仿宋" w:cs="宋体"/>
                <w:b/>
                <w:bCs/>
                <w:kern w:val="0"/>
                <w:szCs w:val="21"/>
              </w:rPr>
              <w:t>。</w:t>
            </w:r>
          </w:p>
        </w:tc>
      </w:tr>
    </w:tbl>
    <w:p>
      <w:pPr>
        <w:pStyle w:val="2"/>
        <w:ind w:left="1260"/>
      </w:pPr>
    </w:p>
    <w:p>
      <w:pPr>
        <w:spacing w:line="360" w:lineRule="auto"/>
        <w:ind w:firstLine="480" w:firstLineChars="200"/>
        <w:rPr>
          <w:rFonts w:ascii="仿宋" w:hAnsi="仿宋" w:eastAsia="仿宋" w:cs="仿宋"/>
          <w:sz w:val="24"/>
        </w:rPr>
      </w:pPr>
      <w:r>
        <w:rPr>
          <w:rFonts w:hint="eastAsia" w:ascii="仿宋" w:hAnsi="仿宋" w:eastAsia="仿宋" w:cs="仿宋"/>
          <w:sz w:val="24"/>
        </w:rPr>
        <w:t>技术标评审内容及标准（</w:t>
      </w:r>
      <w:r>
        <w:rPr>
          <w:rFonts w:hint="eastAsia" w:ascii="仿宋" w:hAnsi="仿宋" w:eastAsia="仿宋" w:cs="仿宋"/>
          <w:sz w:val="24"/>
          <w:lang w:val="en-US" w:eastAsia="zh-CN"/>
        </w:rPr>
        <w:t>2</w:t>
      </w:r>
      <w:r>
        <w:rPr>
          <w:rFonts w:hint="eastAsia" w:ascii="仿宋" w:hAnsi="仿宋" w:eastAsia="仿宋" w:cs="仿宋"/>
          <w:sz w:val="24"/>
        </w:rPr>
        <w:t>5分）</w:t>
      </w:r>
    </w:p>
    <w:tbl>
      <w:tblPr>
        <w:tblStyle w:val="24"/>
        <w:tblW w:w="5000" w:type="pct"/>
        <w:tblInd w:w="0" w:type="dxa"/>
        <w:tblLayout w:type="autofit"/>
        <w:tblCellMar>
          <w:top w:w="0" w:type="dxa"/>
          <w:left w:w="108" w:type="dxa"/>
          <w:bottom w:w="0" w:type="dxa"/>
          <w:right w:w="108" w:type="dxa"/>
        </w:tblCellMar>
      </w:tblPr>
      <w:tblGrid>
        <w:gridCol w:w="983"/>
        <w:gridCol w:w="1012"/>
        <w:gridCol w:w="6527"/>
      </w:tblGrid>
      <w:tr>
        <w:tblPrEx>
          <w:tblCellMar>
            <w:top w:w="0" w:type="dxa"/>
            <w:left w:w="108" w:type="dxa"/>
            <w:bottom w:w="0" w:type="dxa"/>
            <w:right w:w="108" w:type="dxa"/>
          </w:tblCellMar>
        </w:tblPrEx>
        <w:trPr>
          <w:trHeight w:val="450" w:hRule="atLeast"/>
        </w:trPr>
        <w:tc>
          <w:tcPr>
            <w:tcW w:w="5000" w:type="pct"/>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技术标评审内容及标准</w:t>
            </w:r>
          </w:p>
        </w:tc>
      </w:tr>
      <w:tr>
        <w:tblPrEx>
          <w:tblCellMar>
            <w:top w:w="0" w:type="dxa"/>
            <w:left w:w="108" w:type="dxa"/>
            <w:bottom w:w="0" w:type="dxa"/>
            <w:right w:w="108" w:type="dxa"/>
          </w:tblCellMar>
        </w:tblPrEx>
        <w:trPr>
          <w:trHeight w:val="390" w:hRule="atLeast"/>
        </w:trPr>
        <w:tc>
          <w:tcPr>
            <w:tcW w:w="577"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评审项目</w:t>
            </w:r>
          </w:p>
        </w:tc>
        <w:tc>
          <w:tcPr>
            <w:tcW w:w="594"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分值</w:t>
            </w:r>
          </w:p>
        </w:tc>
        <w:tc>
          <w:tcPr>
            <w:tcW w:w="3828" w:type="pct"/>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kern w:val="0"/>
                <w:szCs w:val="21"/>
              </w:rPr>
            </w:pPr>
            <w:r>
              <w:rPr>
                <w:rFonts w:hint="eastAsia" w:ascii="仿宋" w:hAnsi="仿宋" w:eastAsia="仿宋" w:cs="宋体"/>
                <w:b/>
                <w:bCs/>
                <w:kern w:val="0"/>
                <w:szCs w:val="21"/>
              </w:rPr>
              <w:t>评审依据</w:t>
            </w:r>
          </w:p>
        </w:tc>
      </w:tr>
      <w:tr>
        <w:tblPrEx>
          <w:tblCellMar>
            <w:top w:w="0" w:type="dxa"/>
            <w:left w:w="108" w:type="dxa"/>
            <w:bottom w:w="0" w:type="dxa"/>
            <w:right w:w="108" w:type="dxa"/>
          </w:tblCellMar>
        </w:tblPrEx>
        <w:trPr>
          <w:trHeight w:val="910" w:hRule="atLeast"/>
        </w:trPr>
        <w:tc>
          <w:tcPr>
            <w:tcW w:w="57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项目运维团队</w:t>
            </w:r>
          </w:p>
        </w:tc>
        <w:tc>
          <w:tcPr>
            <w:tcW w:w="594"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8</w:t>
            </w:r>
            <w:r>
              <w:rPr>
                <w:rFonts w:hint="eastAsia" w:ascii="仿宋" w:hAnsi="仿宋" w:eastAsia="仿宋" w:cs="宋体"/>
                <w:kern w:val="0"/>
                <w:szCs w:val="21"/>
              </w:rPr>
              <w:t>分</w:t>
            </w: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Cs w:val="21"/>
              </w:rPr>
            </w:pPr>
            <w:r>
              <w:rPr>
                <w:rFonts w:hint="eastAsia" w:ascii="仿宋" w:hAnsi="仿宋" w:eastAsia="仿宋" w:cs="宋体"/>
                <w:kern w:val="0"/>
                <w:szCs w:val="21"/>
              </w:rPr>
              <w:t>1、运维负责人：同时具有信息系统集成及服务高级项目经理证书及数据库管理工程师证书的，得</w:t>
            </w:r>
            <w:r>
              <w:rPr>
                <w:rFonts w:hint="eastAsia" w:ascii="仿宋" w:hAnsi="仿宋" w:eastAsia="仿宋" w:cs="宋体"/>
                <w:kern w:val="0"/>
                <w:szCs w:val="21"/>
                <w:lang w:val="en-US" w:eastAsia="zh-CN"/>
              </w:rPr>
              <w:t>2</w:t>
            </w:r>
            <w:r>
              <w:rPr>
                <w:rFonts w:hint="eastAsia" w:ascii="仿宋" w:hAnsi="仿宋" w:eastAsia="仿宋" w:cs="宋体"/>
                <w:kern w:val="0"/>
                <w:szCs w:val="21"/>
              </w:rPr>
              <w:t>分，每缺1项扣</w:t>
            </w:r>
            <w:r>
              <w:rPr>
                <w:rFonts w:hint="eastAsia" w:ascii="仿宋" w:hAnsi="仿宋" w:eastAsia="仿宋" w:cs="宋体"/>
                <w:kern w:val="0"/>
                <w:szCs w:val="21"/>
                <w:lang w:val="en-US" w:eastAsia="zh-CN"/>
              </w:rPr>
              <w:t>1</w:t>
            </w:r>
            <w:r>
              <w:rPr>
                <w:rFonts w:hint="eastAsia" w:ascii="仿宋" w:hAnsi="仿宋" w:eastAsia="仿宋" w:cs="宋体"/>
                <w:kern w:val="0"/>
                <w:szCs w:val="21"/>
              </w:rPr>
              <w:t>分；</w:t>
            </w:r>
          </w:p>
        </w:tc>
      </w:tr>
      <w:tr>
        <w:tblPrEx>
          <w:tblCellMar>
            <w:top w:w="0" w:type="dxa"/>
            <w:left w:w="108" w:type="dxa"/>
            <w:bottom w:w="0" w:type="dxa"/>
            <w:right w:w="108" w:type="dxa"/>
          </w:tblCellMar>
        </w:tblPrEx>
        <w:trPr>
          <w:trHeight w:val="880" w:hRule="atLeast"/>
        </w:trPr>
        <w:tc>
          <w:tcPr>
            <w:tcW w:w="57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59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Cs w:val="21"/>
              </w:rPr>
            </w:pPr>
            <w:r>
              <w:rPr>
                <w:rFonts w:hint="eastAsia" w:ascii="仿宋" w:hAnsi="仿宋" w:eastAsia="仿宋" w:cs="宋体"/>
                <w:kern w:val="0"/>
                <w:szCs w:val="21"/>
              </w:rPr>
              <w:t>2、技术负责人：具有计算机类正高级（教授、教授级高工、研究员）及以上职称，且同时获得省级及以上科技厅颁发的技术领军人才证书得的</w:t>
            </w:r>
            <w:r>
              <w:rPr>
                <w:rFonts w:hint="eastAsia" w:ascii="仿宋" w:hAnsi="仿宋" w:eastAsia="仿宋" w:cs="宋体"/>
                <w:kern w:val="0"/>
                <w:szCs w:val="21"/>
                <w:lang w:val="en-US" w:eastAsia="zh-CN"/>
              </w:rPr>
              <w:t>2</w:t>
            </w:r>
            <w:r>
              <w:rPr>
                <w:rFonts w:hint="eastAsia" w:ascii="仿宋" w:hAnsi="仿宋" w:eastAsia="仿宋" w:cs="宋体"/>
                <w:kern w:val="0"/>
                <w:szCs w:val="21"/>
              </w:rPr>
              <w:t>分，每缺1项扣</w:t>
            </w:r>
            <w:r>
              <w:rPr>
                <w:rFonts w:hint="eastAsia" w:ascii="仿宋" w:hAnsi="仿宋" w:eastAsia="仿宋" w:cs="宋体"/>
                <w:kern w:val="0"/>
                <w:szCs w:val="21"/>
                <w:lang w:val="en-US" w:eastAsia="zh-CN"/>
              </w:rPr>
              <w:t>1</w:t>
            </w:r>
            <w:r>
              <w:rPr>
                <w:rFonts w:hint="eastAsia" w:ascii="仿宋" w:hAnsi="仿宋" w:eastAsia="仿宋" w:cs="宋体"/>
                <w:kern w:val="0"/>
                <w:szCs w:val="21"/>
              </w:rPr>
              <w:t xml:space="preserve">分； </w:t>
            </w:r>
          </w:p>
        </w:tc>
      </w:tr>
      <w:tr>
        <w:tblPrEx>
          <w:tblCellMar>
            <w:top w:w="0" w:type="dxa"/>
            <w:left w:w="108" w:type="dxa"/>
            <w:bottom w:w="0" w:type="dxa"/>
            <w:right w:w="108" w:type="dxa"/>
          </w:tblCellMar>
        </w:tblPrEx>
        <w:trPr>
          <w:trHeight w:val="880" w:hRule="atLeast"/>
        </w:trPr>
        <w:tc>
          <w:tcPr>
            <w:tcW w:w="57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59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Cs w:val="21"/>
              </w:rPr>
            </w:pPr>
            <w:r>
              <w:rPr>
                <w:rFonts w:hint="eastAsia" w:ascii="仿宋" w:hAnsi="仿宋" w:eastAsia="仿宋" w:cs="宋体"/>
                <w:kern w:val="0"/>
                <w:szCs w:val="21"/>
              </w:rPr>
              <w:t>3、配备专职售后服务人员</w:t>
            </w:r>
            <w:r>
              <w:rPr>
                <w:rFonts w:hint="eastAsia" w:ascii="仿宋" w:hAnsi="仿宋" w:eastAsia="仿宋" w:cs="宋体"/>
                <w:kern w:val="0"/>
                <w:szCs w:val="21"/>
                <w:lang w:eastAsia="zh-CN"/>
              </w:rPr>
              <w:t>：</w:t>
            </w:r>
            <w:r>
              <w:rPr>
                <w:rFonts w:hint="eastAsia" w:ascii="仿宋" w:hAnsi="仿宋" w:eastAsia="仿宋" w:cs="宋体"/>
                <w:kern w:val="0"/>
                <w:szCs w:val="21"/>
              </w:rPr>
              <w:t>具有注册信息安全保障人员（CISAW）、注册信息安全专业人员（CISE）、ITSS应用服务经理、信息系统项目管理师、PMP项目管理师、系统集成项目管理工程师、系统分析师及网络工程师各1名，证书提供齐全得</w:t>
            </w:r>
            <w:r>
              <w:rPr>
                <w:rFonts w:hint="eastAsia" w:ascii="仿宋" w:hAnsi="仿宋" w:eastAsia="仿宋" w:cs="宋体"/>
                <w:kern w:val="0"/>
                <w:szCs w:val="21"/>
                <w:lang w:val="en-US" w:eastAsia="zh-CN"/>
              </w:rPr>
              <w:t>4</w:t>
            </w:r>
            <w:r>
              <w:rPr>
                <w:rFonts w:hint="eastAsia" w:ascii="仿宋" w:hAnsi="仿宋" w:eastAsia="仿宋" w:cs="宋体"/>
                <w:kern w:val="0"/>
                <w:szCs w:val="21"/>
              </w:rPr>
              <w:t>分，每缺1项扣</w:t>
            </w:r>
            <w:r>
              <w:rPr>
                <w:rFonts w:hint="eastAsia" w:ascii="仿宋" w:hAnsi="仿宋" w:eastAsia="仿宋" w:cs="宋体"/>
                <w:kern w:val="0"/>
                <w:szCs w:val="21"/>
                <w:lang w:val="en-US" w:eastAsia="zh-CN"/>
              </w:rPr>
              <w:t>0.5</w:t>
            </w:r>
            <w:r>
              <w:rPr>
                <w:rFonts w:hint="eastAsia" w:ascii="仿宋" w:hAnsi="仿宋" w:eastAsia="仿宋" w:cs="宋体"/>
                <w:kern w:val="0"/>
                <w:szCs w:val="21"/>
              </w:rPr>
              <w:t>分；</w:t>
            </w:r>
          </w:p>
        </w:tc>
      </w:tr>
      <w:tr>
        <w:trPr>
          <w:trHeight w:val="420" w:hRule="atLeast"/>
        </w:trPr>
        <w:tc>
          <w:tcPr>
            <w:tcW w:w="57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59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kern w:val="0"/>
                <w:szCs w:val="21"/>
              </w:rPr>
            </w:pP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kern w:val="0"/>
                <w:szCs w:val="21"/>
              </w:rPr>
            </w:pPr>
            <w:r>
              <w:rPr>
                <w:rFonts w:hint="eastAsia" w:ascii="仿宋" w:hAnsi="仿宋" w:eastAsia="仿宋" w:cs="宋体"/>
                <w:b/>
                <w:bCs/>
                <w:kern w:val="0"/>
                <w:szCs w:val="21"/>
              </w:rPr>
              <w:t>注：以上均须提供证书及人员社保证明（</w:t>
            </w:r>
            <w:r>
              <w:rPr>
                <w:rFonts w:hint="eastAsia" w:ascii="仿宋" w:hAnsi="仿宋" w:eastAsia="仿宋" w:cs="仿宋"/>
              </w:rPr>
              <w:t>自开标之日起上推三个月内任意一个月社保）</w:t>
            </w:r>
          </w:p>
        </w:tc>
      </w:tr>
      <w:tr>
        <w:trPr>
          <w:trHeight w:val="810" w:hRule="atLeast"/>
        </w:trPr>
        <w:tc>
          <w:tcPr>
            <w:tcW w:w="577" w:type="pct"/>
            <w:tcBorders>
              <w:top w:val="nil"/>
              <w:left w:val="single" w:color="auto" w:sz="4" w:space="0"/>
              <w:bottom w:val="nil"/>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运维技术方案</w:t>
            </w:r>
          </w:p>
        </w:tc>
        <w:tc>
          <w:tcPr>
            <w:tcW w:w="594" w:type="pct"/>
            <w:tcBorders>
              <w:top w:val="nil"/>
              <w:left w:val="nil"/>
              <w:bottom w:val="nil"/>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15分</w:t>
            </w: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Cs w:val="21"/>
              </w:rPr>
            </w:pPr>
            <w:r>
              <w:rPr>
                <w:rFonts w:hint="eastAsia" w:ascii="仿宋" w:hAnsi="仿宋" w:eastAsia="仿宋" w:cs="宋体"/>
                <w:kern w:val="0"/>
                <w:szCs w:val="21"/>
              </w:rPr>
              <w:t>根据投标人提供的运维技术方案、实施计划响应招标文件情况，由评标委员会综合评定。</w:t>
            </w:r>
            <w:r>
              <w:rPr>
                <w:rFonts w:hint="eastAsia" w:ascii="仿宋" w:hAnsi="仿宋" w:eastAsia="仿宋" w:cs="宋体"/>
                <w:b/>
                <w:bCs/>
                <w:color w:val="FF0000"/>
                <w:kern w:val="0"/>
                <w:szCs w:val="21"/>
              </w:rPr>
              <w:t>投标人须书面承诺对招标人现有平台系统的原理掌握、日常维护、配品配件、使用及优化无任何障碍，无需招标人提供任何资金、技术方面的协助、协调。</w:t>
            </w:r>
            <w:r>
              <w:rPr>
                <w:rFonts w:hint="eastAsia" w:ascii="仿宋" w:hAnsi="仿宋" w:eastAsia="仿宋" w:cs="宋体"/>
                <w:kern w:val="0"/>
                <w:szCs w:val="21"/>
              </w:rPr>
              <w:t>优秀的得10～15分，良好的得5～9分，一般的得1～4分，不提供不得分。</w:t>
            </w:r>
          </w:p>
        </w:tc>
      </w:tr>
      <w:tr>
        <w:tblPrEx>
          <w:tblCellMar>
            <w:top w:w="0" w:type="dxa"/>
            <w:left w:w="108" w:type="dxa"/>
            <w:bottom w:w="0" w:type="dxa"/>
            <w:right w:w="108" w:type="dxa"/>
          </w:tblCellMar>
        </w:tblPrEx>
        <w:trPr>
          <w:trHeight w:val="1520" w:hRule="atLeast"/>
        </w:trPr>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培训方案</w:t>
            </w:r>
          </w:p>
        </w:tc>
        <w:tc>
          <w:tcPr>
            <w:tcW w:w="59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2</w:t>
            </w:r>
            <w:r>
              <w:rPr>
                <w:rFonts w:hint="eastAsia" w:ascii="仿宋" w:hAnsi="仿宋" w:eastAsia="仿宋" w:cs="宋体"/>
                <w:kern w:val="0"/>
                <w:szCs w:val="21"/>
              </w:rPr>
              <w:t>分</w:t>
            </w:r>
          </w:p>
        </w:tc>
        <w:tc>
          <w:tcPr>
            <w:tcW w:w="3828" w:type="pct"/>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kern w:val="0"/>
                <w:szCs w:val="21"/>
              </w:rPr>
            </w:pPr>
            <w:r>
              <w:rPr>
                <w:rFonts w:hint="eastAsia" w:ascii="仿宋" w:hAnsi="仿宋" w:eastAsia="仿宋" w:cs="宋体"/>
                <w:kern w:val="0"/>
                <w:szCs w:val="21"/>
              </w:rPr>
              <w:t>有针对性的培训方案，培训方案应包括培训的时间、地点、目标、方式、内容、对象和措施。对方案的科学性可行性进行综合评比。方案科学</w:t>
            </w:r>
            <w:r>
              <w:rPr>
                <w:rFonts w:hint="eastAsia" w:ascii="仿宋" w:hAnsi="仿宋" w:eastAsia="仿宋" w:cs="宋体"/>
                <w:kern w:val="0"/>
                <w:szCs w:val="21"/>
                <w:lang w:val="en-US" w:eastAsia="zh-CN"/>
              </w:rPr>
              <w:t>有效且具有可操作性的，得2分；方案一般且能满足需要的，得1；方案存在明显缺陷的或无方案的，不得分。</w:t>
            </w:r>
          </w:p>
        </w:tc>
      </w:tr>
    </w:tbl>
    <w:p>
      <w:pPr>
        <w:pStyle w:val="2"/>
        <w:ind w:left="1260"/>
      </w:pPr>
    </w:p>
    <w:p>
      <w:pPr>
        <w:pStyle w:val="2"/>
      </w:pPr>
    </w:p>
    <w:p>
      <w:pPr>
        <w:adjustRightInd w:val="0"/>
        <w:snapToGrid w:val="0"/>
        <w:spacing w:line="360" w:lineRule="auto"/>
        <w:rPr>
          <w:rFonts w:ascii="仿宋_GB2312" w:eastAsia="仿宋_GB2312"/>
          <w:szCs w:val="28"/>
        </w:rPr>
      </w:pPr>
    </w:p>
    <w:p>
      <w:pPr>
        <w:pStyle w:val="2"/>
        <w:rPr>
          <w:rFonts w:ascii="仿宋_GB2312" w:eastAsia="仿宋_GB2312"/>
          <w:szCs w:val="28"/>
        </w:rPr>
      </w:pPr>
    </w:p>
    <w:p>
      <w:pPr>
        <w:rPr>
          <w:rFonts w:ascii="仿宋_GB2312" w:eastAsia="仿宋_GB2312"/>
          <w:szCs w:val="28"/>
        </w:rPr>
      </w:pPr>
    </w:p>
    <w:p>
      <w:pPr>
        <w:pStyle w:val="2"/>
        <w:rPr>
          <w:rFonts w:ascii="仿宋_GB2312" w:eastAsia="仿宋_GB2312"/>
          <w:szCs w:val="28"/>
        </w:rPr>
      </w:pPr>
    </w:p>
    <w:p>
      <w:pPr>
        <w:rPr>
          <w:rFonts w:ascii="仿宋_GB2312" w:eastAsia="仿宋_GB2312"/>
          <w:szCs w:val="28"/>
        </w:rPr>
      </w:pPr>
    </w:p>
    <w:p/>
    <w:p>
      <w:pPr>
        <w:jc w:val="center"/>
        <w:rPr>
          <w:rFonts w:hint="eastAsia"/>
          <w:b/>
          <w:bCs/>
          <w:sz w:val="28"/>
          <w:szCs w:val="36"/>
          <w:lang w:eastAsia="zh-CN"/>
        </w:rPr>
      </w:pPr>
      <w:r>
        <w:rPr>
          <w:rFonts w:hint="eastAsia"/>
          <w:b/>
          <w:bCs/>
          <w:sz w:val="28"/>
          <w:szCs w:val="36"/>
          <w:lang w:eastAsia="zh-CN"/>
        </w:rPr>
        <w:t>承诺函</w:t>
      </w:r>
    </w:p>
    <w:p>
      <w:pPr>
        <w:spacing w:line="480" w:lineRule="auto"/>
        <w:rPr>
          <w:rFonts w:hint="eastAsia"/>
          <w:lang w:eastAsia="zh-CN"/>
        </w:rPr>
      </w:pPr>
      <w:r>
        <w:rPr>
          <w:rFonts w:hint="eastAsia"/>
          <w:lang w:eastAsia="zh-CN"/>
        </w:rPr>
        <w:t>致：皖南医学院</w:t>
      </w:r>
    </w:p>
    <w:p>
      <w:pPr>
        <w:spacing w:line="480" w:lineRule="auto"/>
        <w:rPr>
          <w:rFonts w:hint="eastAsia"/>
          <w:lang w:val="en-US" w:eastAsia="zh-CN"/>
        </w:rPr>
      </w:pPr>
      <w:r>
        <w:rPr>
          <w:rFonts w:hint="eastAsia"/>
          <w:lang w:val="en-US" w:eastAsia="zh-CN"/>
        </w:rPr>
        <w:t xml:space="preserve">     我公司承诺对贵校现有的能源监管平台一期、二期以及学生公寓水电管理系统的原理掌握、日常维护、配品配件、使用及优化无任何障碍，能够做到校内现有系统间数据信息对接、新增表具信息上线接入等工作无条件对接，凡是涉及不同系统平台之间的表具对接数据上传及下载等无需招标人提供任何资金、技术方面的协助、协调。</w:t>
      </w:r>
    </w:p>
    <w:p>
      <w:pPr>
        <w:spacing w:line="480" w:lineRule="auto"/>
        <w:ind w:firstLine="560" w:firstLineChars="200"/>
        <w:rPr>
          <w:rFonts w:hint="eastAsia"/>
          <w:lang w:val="en-US" w:eastAsia="zh-CN"/>
        </w:rPr>
      </w:pPr>
      <w:r>
        <w:rPr>
          <w:rFonts w:hint="eastAsia"/>
          <w:lang w:val="en-US" w:eastAsia="zh-CN"/>
        </w:rPr>
        <w:t>如不能兑现承诺，我公司自愿承担由此造成一切经济、法律责任，并同意招标人就此终止合同，且招标人不承担任何经济、法律责任。</w:t>
      </w:r>
    </w:p>
    <w:p>
      <w:pPr>
        <w:spacing w:line="480" w:lineRule="auto"/>
        <w:ind w:firstLine="560" w:firstLineChars="200"/>
        <w:rPr>
          <w:rFonts w:hint="eastAsia"/>
          <w:lang w:val="en-US" w:eastAsia="zh-CN"/>
        </w:rPr>
      </w:pPr>
      <w:r>
        <w:rPr>
          <w:rFonts w:hint="eastAsia"/>
          <w:lang w:val="en-US" w:eastAsia="zh-CN"/>
        </w:rPr>
        <w:t>特此承诺。</w:t>
      </w:r>
    </w:p>
    <w:p>
      <w:pPr>
        <w:spacing w:line="480" w:lineRule="auto"/>
        <w:ind w:firstLine="560" w:firstLineChars="200"/>
        <w:rPr>
          <w:rFonts w:hint="eastAsia"/>
          <w:lang w:val="en-US" w:eastAsia="zh-CN"/>
        </w:rPr>
      </w:pPr>
    </w:p>
    <w:p>
      <w:pPr>
        <w:spacing w:line="480" w:lineRule="auto"/>
        <w:ind w:firstLine="560" w:firstLineChars="200"/>
        <w:rPr>
          <w:rFonts w:hint="eastAsia"/>
          <w:lang w:val="en-US" w:eastAsia="zh-CN"/>
        </w:rPr>
      </w:pPr>
    </w:p>
    <w:p>
      <w:pPr>
        <w:spacing w:line="480" w:lineRule="auto"/>
        <w:ind w:firstLine="560" w:firstLineChars="200"/>
        <w:rPr>
          <w:rFonts w:hint="eastAsia"/>
          <w:lang w:val="en-US" w:eastAsia="zh-CN"/>
        </w:rPr>
      </w:pPr>
    </w:p>
    <w:p>
      <w:pPr>
        <w:spacing w:line="480" w:lineRule="auto"/>
        <w:ind w:firstLine="560" w:firstLineChars="200"/>
        <w:rPr>
          <w:rFonts w:hint="eastAsia"/>
          <w:lang w:val="en-US" w:eastAsia="zh-CN"/>
        </w:rPr>
      </w:pPr>
      <w:r>
        <w:rPr>
          <w:rFonts w:hint="eastAsia"/>
          <w:lang w:val="en-US" w:eastAsia="zh-CN"/>
        </w:rPr>
        <w:t xml:space="preserve">                                                       投标人：（签章）</w:t>
      </w:r>
    </w:p>
    <w:p>
      <w:pPr>
        <w:spacing w:line="480" w:lineRule="auto"/>
        <w:ind w:left="7280" w:leftChars="200" w:hanging="6720" w:hangingChars="2400"/>
        <w:rPr>
          <w:rFonts w:hint="default"/>
          <w:lang w:val="en-US" w:eastAsia="zh-CN"/>
        </w:rPr>
      </w:pPr>
      <w:r>
        <w:rPr>
          <w:rFonts w:hint="eastAsia"/>
          <w:lang w:val="en-US" w:eastAsia="zh-CN"/>
        </w:rPr>
        <w:t xml:space="preserve">                                                       日期：</w:t>
      </w:r>
    </w:p>
    <w:p/>
    <w:p>
      <w:pPr>
        <w:pStyle w:val="2"/>
        <w:ind w:left="0" w:leftChars="0" w:firstLine="0" w:firstLineChars="0"/>
      </w:pPr>
    </w:p>
    <w:p>
      <w:pPr>
        <w:pStyle w:val="33"/>
      </w:pPr>
      <w:r>
        <w:rPr>
          <w:rFonts w:hint="eastAsia"/>
        </w:rPr>
        <w:t xml:space="preserve">第七章  </w:t>
      </w:r>
      <w:bookmarkStart w:id="116" w:name="_Toc403987220"/>
      <w:r>
        <w:rPr>
          <w:rFonts w:hint="eastAsia"/>
        </w:rPr>
        <w:t>响应文件格式</w:t>
      </w:r>
      <w:bookmarkEnd w:id="114"/>
      <w:bookmarkEnd w:id="115"/>
      <w:bookmarkEnd w:id="116"/>
      <w:bookmarkStart w:id="117" w:name="_Hlt26671244"/>
      <w:bookmarkEnd w:id="117"/>
      <w:bookmarkStart w:id="118" w:name="_Hlt26955039"/>
      <w:bookmarkEnd w:id="118"/>
    </w:p>
    <w:p>
      <w:pPr>
        <w:jc w:val="left"/>
        <w:rPr>
          <w:rFonts w:hint="eastAsia" w:eastAsia="仿宋_GB2312"/>
          <w:snapToGrid w:val="0"/>
          <w:sz w:val="30"/>
        </w:rPr>
      </w:pPr>
    </w:p>
    <w:p>
      <w:pPr>
        <w:jc w:val="left"/>
        <w:rPr>
          <w:rFonts w:hint="default" w:eastAsia="仿宋_GB2312"/>
          <w:snapToGrid w:val="0"/>
          <w:sz w:val="30"/>
          <w:lang w:val="en-US" w:eastAsia="zh-CN"/>
        </w:rPr>
      </w:pPr>
      <w:r>
        <w:pict>
          <v:rect id="_x0000_s1028" o:spid="_x0000_s1028" o:spt="1" style="position:absolute;left:0pt;margin-left:350.05pt;margin-top:0.1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eastAsia="仿宋_GB2312"/>
          <w:snapToGrid w:val="0"/>
          <w:sz w:val="30"/>
        </w:rPr>
        <w:t>项目编号：WYGZ202</w:t>
      </w:r>
      <w:r>
        <w:rPr>
          <w:rFonts w:hint="eastAsia" w:eastAsia="仿宋_GB2312"/>
          <w:snapToGrid w:val="0"/>
          <w:sz w:val="30"/>
          <w:lang w:val="en-US" w:eastAsia="zh-CN"/>
        </w:rPr>
        <w:t>2077</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19"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皖南医学院2022-2025年能源监管平台和学生公寓水电管理系统维保服务项目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19"/>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4"/>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6"/>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6"/>
          <w:rFonts w:ascii="华文中宋" w:hAnsi="华文中宋" w:eastAsia="华文中宋"/>
          <w:sz w:val="28"/>
          <w:szCs w:val="28"/>
        </w:rPr>
      </w:pPr>
      <w:r>
        <w:rPr>
          <w:rStyle w:val="46"/>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4"/>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6"/>
          <w:rFonts w:ascii="华文中宋" w:hAnsi="华文中宋" w:eastAsia="华文中宋"/>
          <w:b w:val="0"/>
          <w:color w:val="auto"/>
          <w:szCs w:val="28"/>
        </w:rPr>
      </w:pPr>
      <w:r>
        <w:rPr>
          <w:rFonts w:hint="eastAsia"/>
          <w:bCs/>
          <w:spacing w:val="-6"/>
          <w:sz w:val="32"/>
        </w:rPr>
        <w:t>三、</w:t>
      </w:r>
      <w:bookmarkStart w:id="120" w:name="_Toc120614283"/>
      <w:bookmarkStart w:id="121" w:name="_Toc22356580"/>
      <w:bookmarkStart w:id="122" w:name="_Toc26554095"/>
      <w:bookmarkStart w:id="123" w:name="_Toc460901585"/>
      <w:bookmarkStart w:id="124" w:name="_Toc49090577"/>
      <w:bookmarkStart w:id="125" w:name="_Toc513029276"/>
      <w:bookmarkStart w:id="126" w:name="_Toc23828478"/>
      <w:r>
        <w:rPr>
          <w:rFonts w:hint="eastAsia" w:ascii="华文中宋" w:hAnsi="华文中宋" w:eastAsia="华文中宋"/>
          <w:b/>
          <w:spacing w:val="-6"/>
          <w:sz w:val="32"/>
          <w:szCs w:val="28"/>
        </w:rPr>
        <w:t>、</w:t>
      </w:r>
      <w:r>
        <w:rPr>
          <w:rStyle w:val="46"/>
          <w:rFonts w:hint="eastAsia" w:ascii="华文中宋" w:hAnsi="华文中宋" w:eastAsia="华文中宋"/>
          <w:color w:val="auto"/>
          <w:szCs w:val="28"/>
        </w:rPr>
        <w:t>磋商函格式</w:t>
      </w:r>
    </w:p>
    <w:bookmarkEnd w:id="120"/>
    <w:bookmarkEnd w:id="121"/>
    <w:bookmarkEnd w:id="122"/>
    <w:bookmarkEnd w:id="123"/>
    <w:bookmarkEnd w:id="124"/>
    <w:bookmarkEnd w:id="125"/>
    <w:bookmarkEnd w:id="126"/>
    <w:p>
      <w:pPr>
        <w:tabs>
          <w:tab w:val="left" w:pos="5580"/>
        </w:tabs>
        <w:spacing w:line="480" w:lineRule="exact"/>
        <w:rPr>
          <w:rStyle w:val="46"/>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4"/>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27" w:name="_Toc26554103"/>
      <w:bookmarkStart w:id="128" w:name="_Toc49090582"/>
      <w:bookmarkStart w:id="129" w:name="_Toc513029281"/>
      <w:bookmarkStart w:id="130" w:name="_Toc22356583"/>
      <w:bookmarkStart w:id="131" w:name="_Toc24878535"/>
      <w:bookmarkStart w:id="132" w:name="_Toc120614291"/>
      <w:bookmarkStart w:id="133" w:name="_Toc23828483"/>
      <w:r>
        <w:rPr>
          <w:rFonts w:hint="eastAsia" w:hAnsi="宋体"/>
          <w:b/>
        </w:rPr>
        <w:t>五、法人授权书</w:t>
      </w:r>
      <w:bookmarkEnd w:id="127"/>
      <w:bookmarkEnd w:id="128"/>
      <w:bookmarkEnd w:id="129"/>
      <w:bookmarkEnd w:id="130"/>
      <w:bookmarkEnd w:id="131"/>
      <w:bookmarkEnd w:id="132"/>
      <w:bookmarkEnd w:id="133"/>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34"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34"/>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35" w:name="OLE_LINK3"/>
      <w:bookmarkStart w:id="136" w:name="OLE_LINK1"/>
      <w:bookmarkStart w:id="137" w:name="OLE_LINK2"/>
      <w:r>
        <w:rPr>
          <w:rFonts w:hint="eastAsia" w:ascii="仿宋_GB2312" w:eastAsia="仿宋_GB2312" w:cs="宋体" w:hAnsiTheme="minorEastAsia"/>
          <w:color w:val="333333"/>
          <w:sz w:val="30"/>
          <w:szCs w:val="30"/>
        </w:rPr>
        <w:t>学校采购活动</w:t>
      </w:r>
      <w:bookmarkEnd w:id="135"/>
      <w:bookmarkEnd w:id="136"/>
      <w:bookmarkEnd w:id="137"/>
      <w:r>
        <w:rPr>
          <w:rFonts w:hint="eastAsia" w:ascii="仿宋_GB2312" w:eastAsia="仿宋_GB2312" w:cs="宋体" w:hAnsiTheme="minorEastAsia"/>
          <w:color w:val="333333"/>
          <w:sz w:val="30"/>
          <w:szCs w:val="30"/>
        </w:rPr>
        <w:t>质疑的提出和答复、投诉的提起和处理。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38" w:name="OLE_LINK4"/>
      <w:bookmarkStart w:id="139" w:name="OLE_LINK8"/>
      <w:bookmarkStart w:id="140" w:name="OLE_LINK9"/>
      <w:bookmarkStart w:id="141" w:name="OLE_LINK7"/>
      <w:bookmarkStart w:id="142" w:name="OLE_LINK6"/>
      <w:bookmarkStart w:id="143" w:name="OLE_LINK5"/>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38"/>
      <w:bookmarkEnd w:id="139"/>
      <w:bookmarkEnd w:id="140"/>
      <w:bookmarkEnd w:id="141"/>
      <w:bookmarkEnd w:id="142"/>
      <w:bookmarkEnd w:id="143"/>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44" w:name="OLE_LINK77"/>
      <w:bookmarkStart w:id="145" w:name="OLE_LINK76"/>
      <w:bookmarkStart w:id="146" w:name="OLE_LINK78"/>
      <w:r>
        <w:rPr>
          <w:rFonts w:hint="eastAsia" w:ascii="仿宋_GB2312" w:hAnsi="微软雅黑" w:eastAsia="仿宋_GB2312"/>
          <w:color w:val="3E3E3E"/>
          <w:sz w:val="30"/>
          <w:szCs w:val="30"/>
        </w:rPr>
        <w:t>国资处、采购代理机构</w:t>
      </w:r>
      <w:bookmarkEnd w:id="144"/>
      <w:bookmarkEnd w:id="145"/>
      <w:bookmarkEnd w:id="146"/>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7"/>
          <w:rFonts w:hint="eastAsia" w:ascii="黑体" w:hAnsi="黑体" w:eastAsia="黑体"/>
          <w:color w:val="3E3E3E"/>
          <w:sz w:val="30"/>
          <w:szCs w:val="30"/>
        </w:rPr>
        <w:t xml:space="preserve">第五章 </w:t>
      </w:r>
      <w:r>
        <w:rPr>
          <w:rStyle w:val="27"/>
          <w:rFonts w:hint="eastAsia" w:ascii="微软雅黑" w:hAnsi="微软雅黑" w:eastAsia="黑体"/>
          <w:color w:val="3E3E3E"/>
          <w:sz w:val="30"/>
          <w:szCs w:val="30"/>
        </w:rPr>
        <w:t> </w:t>
      </w:r>
      <w:r>
        <w:rPr>
          <w:rStyle w:val="27"/>
          <w:rFonts w:hint="eastAsia" w:ascii="黑体" w:hAnsi="黑体" w:eastAsia="黑体"/>
          <w:color w:val="3E3E3E"/>
          <w:sz w:val="30"/>
          <w:szCs w:val="30"/>
        </w:rPr>
        <w:t>投诉的处理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47" w:name="OLE_LINK11"/>
      <w:bookmarkStart w:id="148" w:name="OLE_LINK13"/>
      <w:bookmarkStart w:id="149" w:name="OLE_LINK12"/>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7"/>
      <w:bookmarkEnd w:id="148"/>
      <w:bookmarkEnd w:id="149"/>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0" w:name="OLE_LINK14"/>
      <w:bookmarkStart w:id="151" w:name="OLE_LINK15"/>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0"/>
    <w:bookmarkEnd w:id="151"/>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Style w:val="27"/>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7"/>
          <w:rFonts w:hint="eastAsia" w:ascii="黑体" w:hAnsi="黑体" w:eastAsia="黑体"/>
          <w:color w:val="3E3E3E"/>
          <w:sz w:val="30"/>
          <w:szCs w:val="30"/>
        </w:rPr>
        <w:t xml:space="preserve">第六章 </w:t>
      </w:r>
      <w:r>
        <w:rPr>
          <w:rStyle w:val="27"/>
          <w:rFonts w:hint="eastAsia" w:ascii="微软雅黑" w:hAnsi="微软雅黑" w:eastAsia="黑体"/>
          <w:color w:val="3E3E3E"/>
          <w:sz w:val="30"/>
          <w:szCs w:val="30"/>
        </w:rPr>
        <w:t> </w:t>
      </w:r>
      <w:r>
        <w:rPr>
          <w:rStyle w:val="27"/>
          <w:rFonts w:hint="eastAsia" w:ascii="黑体" w:hAnsi="黑体" w:eastAsia="黑体"/>
          <w:color w:val="3E3E3E"/>
          <w:sz w:val="30"/>
          <w:szCs w:val="30"/>
        </w:rPr>
        <w:t>法律责任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7"/>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2" w:name="OLE_LINK18"/>
      <w:bookmarkStart w:id="153" w:name="OLE_LINK17"/>
      <w:bookmarkStart w:id="154" w:name="OLE_LINK16"/>
      <w:r>
        <w:rPr>
          <w:rFonts w:hint="eastAsia" w:ascii="仿宋_GB2312" w:hAnsi="宋体" w:eastAsia="仿宋_GB2312" w:cs="宋体"/>
          <w:color w:val="333333"/>
          <w:sz w:val="30"/>
          <w:szCs w:val="30"/>
        </w:rPr>
        <w:t>规</w:t>
      </w:r>
      <w:bookmarkEnd w:id="152"/>
      <w:bookmarkEnd w:id="153"/>
      <w:bookmarkEnd w:id="154"/>
      <w:r>
        <w:rPr>
          <w:rFonts w:hint="eastAsia" w:ascii="仿宋_GB2312" w:hAnsi="宋体" w:eastAsia="仿宋_GB2312" w:cs="宋体"/>
          <w:color w:val="333333"/>
          <w:sz w:val="30"/>
          <w:szCs w:val="30"/>
        </w:rPr>
        <w:t>追究其相应责任。</w:t>
      </w:r>
    </w:p>
    <w:p>
      <w:pPr>
        <w:pStyle w:val="21"/>
        <w:shd w:val="clear" w:color="auto" w:fill="FFFFFF"/>
        <w:adjustRightInd w:val="0"/>
        <w:snapToGrid w:val="0"/>
        <w:spacing w:before="0" w:beforeAutospacing="0" w:after="0" w:afterAutospacing="0" w:line="560" w:lineRule="exact"/>
        <w:ind w:firstLine="602" w:firstLineChars="200"/>
        <w:jc w:val="both"/>
        <w:rPr>
          <w:rStyle w:val="27"/>
          <w:rFonts w:ascii="仿宋_GB2312" w:hAnsi="微软雅黑" w:eastAsia="仿宋_GB2312"/>
          <w:color w:val="3E3E3E"/>
          <w:sz w:val="30"/>
          <w:szCs w:val="30"/>
        </w:rPr>
      </w:pPr>
      <w:r>
        <w:rPr>
          <w:rStyle w:val="27"/>
          <w:rFonts w:hint="eastAsia" w:ascii="仿宋_GB2312" w:hAnsi="微软雅黑" w:eastAsia="仿宋_GB2312"/>
          <w:color w:val="3E3E3E"/>
          <w:sz w:val="30"/>
          <w:szCs w:val="30"/>
        </w:rPr>
        <w:t>　</w:t>
      </w:r>
    </w:p>
    <w:p>
      <w:pPr>
        <w:pStyle w:val="21"/>
        <w:shd w:val="clear" w:color="auto" w:fill="FFFFFF"/>
        <w:adjustRightInd w:val="0"/>
        <w:snapToGrid w:val="0"/>
        <w:spacing w:before="0" w:beforeAutospacing="0" w:after="0" w:afterAutospacing="0" w:line="560" w:lineRule="exact"/>
        <w:jc w:val="center"/>
        <w:rPr>
          <w:rStyle w:val="27"/>
          <w:rFonts w:ascii="黑体" w:hAnsi="黑体" w:eastAsia="黑体"/>
          <w:color w:val="3E3E3E"/>
          <w:sz w:val="30"/>
          <w:szCs w:val="30"/>
        </w:rPr>
      </w:pPr>
      <w:r>
        <w:rPr>
          <w:rStyle w:val="27"/>
          <w:rFonts w:hint="eastAsia" w:ascii="黑体" w:hAnsi="黑体" w:eastAsia="黑体"/>
          <w:color w:val="3E3E3E"/>
          <w:sz w:val="30"/>
          <w:szCs w:val="30"/>
        </w:rPr>
        <w:t xml:space="preserve">第七章 </w:t>
      </w:r>
      <w:r>
        <w:rPr>
          <w:rStyle w:val="27"/>
          <w:rFonts w:hint="eastAsia" w:ascii="微软雅黑" w:hAnsi="微软雅黑" w:eastAsia="黑体"/>
          <w:color w:val="3E3E3E"/>
          <w:sz w:val="30"/>
          <w:szCs w:val="30"/>
        </w:rPr>
        <w:t> </w:t>
      </w:r>
      <w:r>
        <w:rPr>
          <w:rStyle w:val="27"/>
          <w:rFonts w:hint="eastAsia" w:ascii="黑体" w:hAnsi="黑体" w:eastAsia="黑体"/>
          <w:color w:val="3E3E3E"/>
          <w:sz w:val="30"/>
          <w:szCs w:val="30"/>
        </w:rPr>
        <w:t>附则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7"/>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27240"/>
    <w:multiLevelType w:val="singleLevel"/>
    <w:tmpl w:val="A2127240"/>
    <w:lvl w:ilvl="0" w:tentative="0">
      <w:start w:val="3"/>
      <w:numFmt w:val="decimal"/>
      <w:suff w:val="space"/>
      <w:lvlText w:val="%1."/>
      <w:lvlJc w:val="left"/>
    </w:lvl>
  </w:abstractNum>
  <w:abstractNum w:abstractNumId="1">
    <w:nsid w:val="00000005"/>
    <w:multiLevelType w:val="multilevel"/>
    <w:tmpl w:val="00000005"/>
    <w:lvl w:ilvl="0" w:tentative="0">
      <w:start w:val="1"/>
      <w:numFmt w:val="decimal"/>
      <w:pStyle w:val="6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4"/>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5"/>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6"/>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FkNjVhZDhjNDEyMDY4NGU5ZjNmOGIyZWI3MmRhMzkifQ=="/>
  </w:docVars>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1C44BE"/>
    <w:rsid w:val="01207B0A"/>
    <w:rsid w:val="01213761"/>
    <w:rsid w:val="012B0C48"/>
    <w:rsid w:val="01372C5B"/>
    <w:rsid w:val="016408FB"/>
    <w:rsid w:val="016E4195"/>
    <w:rsid w:val="01726537"/>
    <w:rsid w:val="0176597C"/>
    <w:rsid w:val="01C04E49"/>
    <w:rsid w:val="0214243C"/>
    <w:rsid w:val="02214D2D"/>
    <w:rsid w:val="022E5014"/>
    <w:rsid w:val="02512A07"/>
    <w:rsid w:val="025A529E"/>
    <w:rsid w:val="02AA6130"/>
    <w:rsid w:val="03534FA2"/>
    <w:rsid w:val="03603C2C"/>
    <w:rsid w:val="036678B6"/>
    <w:rsid w:val="03825612"/>
    <w:rsid w:val="03BC38F4"/>
    <w:rsid w:val="03FE61ED"/>
    <w:rsid w:val="04407C5D"/>
    <w:rsid w:val="04414051"/>
    <w:rsid w:val="04596F7F"/>
    <w:rsid w:val="046363BB"/>
    <w:rsid w:val="04673249"/>
    <w:rsid w:val="046774A7"/>
    <w:rsid w:val="04962E28"/>
    <w:rsid w:val="04D10E2B"/>
    <w:rsid w:val="04D83CC0"/>
    <w:rsid w:val="04DB34DA"/>
    <w:rsid w:val="052E5D97"/>
    <w:rsid w:val="0540457D"/>
    <w:rsid w:val="056E1157"/>
    <w:rsid w:val="05814F51"/>
    <w:rsid w:val="0583686C"/>
    <w:rsid w:val="05A01219"/>
    <w:rsid w:val="05C32D63"/>
    <w:rsid w:val="05DE0EF5"/>
    <w:rsid w:val="066E0790"/>
    <w:rsid w:val="069D3826"/>
    <w:rsid w:val="06B729B6"/>
    <w:rsid w:val="06F051CA"/>
    <w:rsid w:val="072520C3"/>
    <w:rsid w:val="07346E86"/>
    <w:rsid w:val="07963C7F"/>
    <w:rsid w:val="07A02C40"/>
    <w:rsid w:val="07A1311E"/>
    <w:rsid w:val="07C06FE0"/>
    <w:rsid w:val="07C678C3"/>
    <w:rsid w:val="07C67D31"/>
    <w:rsid w:val="07CB13CA"/>
    <w:rsid w:val="07F45D5F"/>
    <w:rsid w:val="08387D26"/>
    <w:rsid w:val="088C0852"/>
    <w:rsid w:val="08971DA8"/>
    <w:rsid w:val="08C101E7"/>
    <w:rsid w:val="08C96D0B"/>
    <w:rsid w:val="08F11F59"/>
    <w:rsid w:val="08FB16AB"/>
    <w:rsid w:val="091A74E1"/>
    <w:rsid w:val="09274948"/>
    <w:rsid w:val="093B3CFE"/>
    <w:rsid w:val="09766700"/>
    <w:rsid w:val="09B72FD5"/>
    <w:rsid w:val="0A0134D2"/>
    <w:rsid w:val="0A0A6355"/>
    <w:rsid w:val="0A285544"/>
    <w:rsid w:val="0A6F38B0"/>
    <w:rsid w:val="0A804468"/>
    <w:rsid w:val="0A943B04"/>
    <w:rsid w:val="0AD94888"/>
    <w:rsid w:val="0B101D3B"/>
    <w:rsid w:val="0B24468D"/>
    <w:rsid w:val="0B3E0157"/>
    <w:rsid w:val="0B3E2065"/>
    <w:rsid w:val="0BAD0091"/>
    <w:rsid w:val="0BF07413"/>
    <w:rsid w:val="0BF605B3"/>
    <w:rsid w:val="0C0754E7"/>
    <w:rsid w:val="0C0E1A12"/>
    <w:rsid w:val="0C0F35D8"/>
    <w:rsid w:val="0C161375"/>
    <w:rsid w:val="0C28419D"/>
    <w:rsid w:val="0C341D9A"/>
    <w:rsid w:val="0C3D258F"/>
    <w:rsid w:val="0C5D732E"/>
    <w:rsid w:val="0C5F3058"/>
    <w:rsid w:val="0C7F6C23"/>
    <w:rsid w:val="0C9B5ABD"/>
    <w:rsid w:val="0CE9794A"/>
    <w:rsid w:val="0CEB2EB7"/>
    <w:rsid w:val="0CEF5A7C"/>
    <w:rsid w:val="0D5170C4"/>
    <w:rsid w:val="0DB829D6"/>
    <w:rsid w:val="0DC84C6C"/>
    <w:rsid w:val="0DDB72D4"/>
    <w:rsid w:val="0DDC039E"/>
    <w:rsid w:val="0DDD3892"/>
    <w:rsid w:val="0DE9708F"/>
    <w:rsid w:val="0DF04D08"/>
    <w:rsid w:val="0E236E8B"/>
    <w:rsid w:val="0E2B0A0E"/>
    <w:rsid w:val="0E9B2887"/>
    <w:rsid w:val="0EB53B50"/>
    <w:rsid w:val="0ECC12D1"/>
    <w:rsid w:val="0EFE1271"/>
    <w:rsid w:val="0F013329"/>
    <w:rsid w:val="0F1E0E2A"/>
    <w:rsid w:val="0F1E1F81"/>
    <w:rsid w:val="0F5D383B"/>
    <w:rsid w:val="0F920FD6"/>
    <w:rsid w:val="0F953584"/>
    <w:rsid w:val="0FE62E26"/>
    <w:rsid w:val="10147078"/>
    <w:rsid w:val="10362E55"/>
    <w:rsid w:val="10644165"/>
    <w:rsid w:val="10705FCA"/>
    <w:rsid w:val="109E6C9D"/>
    <w:rsid w:val="10BF0A8A"/>
    <w:rsid w:val="10C71F7C"/>
    <w:rsid w:val="10C806D6"/>
    <w:rsid w:val="10CF50A9"/>
    <w:rsid w:val="10F570EC"/>
    <w:rsid w:val="110D2956"/>
    <w:rsid w:val="113A7359"/>
    <w:rsid w:val="11597C61"/>
    <w:rsid w:val="115C4C5D"/>
    <w:rsid w:val="11610760"/>
    <w:rsid w:val="1171606E"/>
    <w:rsid w:val="11731ED8"/>
    <w:rsid w:val="11861F2F"/>
    <w:rsid w:val="119A13D5"/>
    <w:rsid w:val="11AA5B71"/>
    <w:rsid w:val="11B83ECD"/>
    <w:rsid w:val="120A26AB"/>
    <w:rsid w:val="12240695"/>
    <w:rsid w:val="124872AD"/>
    <w:rsid w:val="127A403A"/>
    <w:rsid w:val="127D1806"/>
    <w:rsid w:val="128120DE"/>
    <w:rsid w:val="12E55022"/>
    <w:rsid w:val="12F412C6"/>
    <w:rsid w:val="13033073"/>
    <w:rsid w:val="13117D95"/>
    <w:rsid w:val="1363442E"/>
    <w:rsid w:val="13654DDA"/>
    <w:rsid w:val="13737112"/>
    <w:rsid w:val="13817B06"/>
    <w:rsid w:val="138402B8"/>
    <w:rsid w:val="13DE5AD5"/>
    <w:rsid w:val="140760EC"/>
    <w:rsid w:val="140C3984"/>
    <w:rsid w:val="142B6AD5"/>
    <w:rsid w:val="14A12F69"/>
    <w:rsid w:val="14A47312"/>
    <w:rsid w:val="14B21774"/>
    <w:rsid w:val="151D361E"/>
    <w:rsid w:val="15E038B4"/>
    <w:rsid w:val="161B2829"/>
    <w:rsid w:val="16224EF4"/>
    <w:rsid w:val="162352F4"/>
    <w:rsid w:val="168800B8"/>
    <w:rsid w:val="16AE750E"/>
    <w:rsid w:val="16F413A1"/>
    <w:rsid w:val="172315BE"/>
    <w:rsid w:val="174262C0"/>
    <w:rsid w:val="175C2C51"/>
    <w:rsid w:val="178B4372"/>
    <w:rsid w:val="17D27FAE"/>
    <w:rsid w:val="17E029C8"/>
    <w:rsid w:val="180E3B64"/>
    <w:rsid w:val="184D6BA9"/>
    <w:rsid w:val="18872601"/>
    <w:rsid w:val="18AE6014"/>
    <w:rsid w:val="18C748B7"/>
    <w:rsid w:val="18FB442B"/>
    <w:rsid w:val="192A70E1"/>
    <w:rsid w:val="192E1C12"/>
    <w:rsid w:val="199537E4"/>
    <w:rsid w:val="19EF1E3B"/>
    <w:rsid w:val="19F55262"/>
    <w:rsid w:val="19FC300D"/>
    <w:rsid w:val="1A62202C"/>
    <w:rsid w:val="1A7A46E4"/>
    <w:rsid w:val="1A98475D"/>
    <w:rsid w:val="1ABE076A"/>
    <w:rsid w:val="1AD34378"/>
    <w:rsid w:val="1AD75285"/>
    <w:rsid w:val="1AE00C81"/>
    <w:rsid w:val="1B24673C"/>
    <w:rsid w:val="1B320F29"/>
    <w:rsid w:val="1B4D5028"/>
    <w:rsid w:val="1B773639"/>
    <w:rsid w:val="1BA53426"/>
    <w:rsid w:val="1BC31AC4"/>
    <w:rsid w:val="1BF0416D"/>
    <w:rsid w:val="1C2B6B2F"/>
    <w:rsid w:val="1C55362C"/>
    <w:rsid w:val="1C8F393E"/>
    <w:rsid w:val="1CAC058A"/>
    <w:rsid w:val="1CC20766"/>
    <w:rsid w:val="1CC96E50"/>
    <w:rsid w:val="1D1237D5"/>
    <w:rsid w:val="1D3554C9"/>
    <w:rsid w:val="1DB750A2"/>
    <w:rsid w:val="1DE34991"/>
    <w:rsid w:val="1E081BFA"/>
    <w:rsid w:val="1E6C333E"/>
    <w:rsid w:val="1E6D68D2"/>
    <w:rsid w:val="1E705BCC"/>
    <w:rsid w:val="1E832DF2"/>
    <w:rsid w:val="1E9967BB"/>
    <w:rsid w:val="1ECF104B"/>
    <w:rsid w:val="1F2A72A4"/>
    <w:rsid w:val="1F3558B5"/>
    <w:rsid w:val="1F692CF3"/>
    <w:rsid w:val="1F8A3212"/>
    <w:rsid w:val="1FCC54BF"/>
    <w:rsid w:val="1FD955FC"/>
    <w:rsid w:val="202F7639"/>
    <w:rsid w:val="208A38C9"/>
    <w:rsid w:val="20A837A8"/>
    <w:rsid w:val="20B84CA3"/>
    <w:rsid w:val="20B90B25"/>
    <w:rsid w:val="20CD06F1"/>
    <w:rsid w:val="20F546B7"/>
    <w:rsid w:val="211238C6"/>
    <w:rsid w:val="214B077B"/>
    <w:rsid w:val="21815F4B"/>
    <w:rsid w:val="21A05C0C"/>
    <w:rsid w:val="21B83EF1"/>
    <w:rsid w:val="21DC53A3"/>
    <w:rsid w:val="220D7430"/>
    <w:rsid w:val="22803C35"/>
    <w:rsid w:val="22847ED7"/>
    <w:rsid w:val="22920DB6"/>
    <w:rsid w:val="22FF1DC4"/>
    <w:rsid w:val="232343C6"/>
    <w:rsid w:val="232F5BFF"/>
    <w:rsid w:val="239A4BCB"/>
    <w:rsid w:val="23B6281C"/>
    <w:rsid w:val="23DC25DC"/>
    <w:rsid w:val="23E2040E"/>
    <w:rsid w:val="23F47EA3"/>
    <w:rsid w:val="24465CBC"/>
    <w:rsid w:val="244D19E5"/>
    <w:rsid w:val="244F4D25"/>
    <w:rsid w:val="246547D2"/>
    <w:rsid w:val="246D5DE4"/>
    <w:rsid w:val="24D55150"/>
    <w:rsid w:val="24EF6ACB"/>
    <w:rsid w:val="251A12ED"/>
    <w:rsid w:val="2536687B"/>
    <w:rsid w:val="254E6E50"/>
    <w:rsid w:val="25536B14"/>
    <w:rsid w:val="255D0B9A"/>
    <w:rsid w:val="25973F8F"/>
    <w:rsid w:val="25981BED"/>
    <w:rsid w:val="25D22791"/>
    <w:rsid w:val="25D61B6D"/>
    <w:rsid w:val="25E740D0"/>
    <w:rsid w:val="25F147AA"/>
    <w:rsid w:val="25F31F56"/>
    <w:rsid w:val="25F9482C"/>
    <w:rsid w:val="26152D46"/>
    <w:rsid w:val="26674E6B"/>
    <w:rsid w:val="26A92E9F"/>
    <w:rsid w:val="26CA303B"/>
    <w:rsid w:val="26D03A87"/>
    <w:rsid w:val="27126FD7"/>
    <w:rsid w:val="272B58EA"/>
    <w:rsid w:val="2734505D"/>
    <w:rsid w:val="273708BD"/>
    <w:rsid w:val="274F178B"/>
    <w:rsid w:val="276A2CDE"/>
    <w:rsid w:val="277F6F78"/>
    <w:rsid w:val="27853190"/>
    <w:rsid w:val="278B7A0E"/>
    <w:rsid w:val="27920CEA"/>
    <w:rsid w:val="27A67BE5"/>
    <w:rsid w:val="27B22C6C"/>
    <w:rsid w:val="27B4697B"/>
    <w:rsid w:val="27C62527"/>
    <w:rsid w:val="27D100FA"/>
    <w:rsid w:val="27D47410"/>
    <w:rsid w:val="27EE3C0E"/>
    <w:rsid w:val="28077F17"/>
    <w:rsid w:val="280E496D"/>
    <w:rsid w:val="28175C2D"/>
    <w:rsid w:val="28383327"/>
    <w:rsid w:val="283D68EF"/>
    <w:rsid w:val="28480BDC"/>
    <w:rsid w:val="28490B8A"/>
    <w:rsid w:val="284A42BE"/>
    <w:rsid w:val="288D390E"/>
    <w:rsid w:val="28A90D0B"/>
    <w:rsid w:val="28B01D10"/>
    <w:rsid w:val="29096EBF"/>
    <w:rsid w:val="291B4956"/>
    <w:rsid w:val="295043D8"/>
    <w:rsid w:val="296707A4"/>
    <w:rsid w:val="297B2229"/>
    <w:rsid w:val="29846CBA"/>
    <w:rsid w:val="29923FC6"/>
    <w:rsid w:val="29B15DDE"/>
    <w:rsid w:val="29E3402F"/>
    <w:rsid w:val="29F73CC8"/>
    <w:rsid w:val="2A002667"/>
    <w:rsid w:val="2A26348C"/>
    <w:rsid w:val="2A5561C7"/>
    <w:rsid w:val="2A5E32CD"/>
    <w:rsid w:val="2A623950"/>
    <w:rsid w:val="2A6D0F47"/>
    <w:rsid w:val="2AB92256"/>
    <w:rsid w:val="2ACE1E53"/>
    <w:rsid w:val="2AF45B19"/>
    <w:rsid w:val="2B081B32"/>
    <w:rsid w:val="2B495075"/>
    <w:rsid w:val="2B5743BB"/>
    <w:rsid w:val="2B62420B"/>
    <w:rsid w:val="2BC47018"/>
    <w:rsid w:val="2BCB7442"/>
    <w:rsid w:val="2BF47B91"/>
    <w:rsid w:val="2C0C2425"/>
    <w:rsid w:val="2C427CE3"/>
    <w:rsid w:val="2C7D1337"/>
    <w:rsid w:val="2CBA11C5"/>
    <w:rsid w:val="2CBE711C"/>
    <w:rsid w:val="2CD80DEF"/>
    <w:rsid w:val="2D04195B"/>
    <w:rsid w:val="2D0637A8"/>
    <w:rsid w:val="2D07058C"/>
    <w:rsid w:val="2D085772"/>
    <w:rsid w:val="2D656721"/>
    <w:rsid w:val="2D713B88"/>
    <w:rsid w:val="2D8F207D"/>
    <w:rsid w:val="2D9C42BC"/>
    <w:rsid w:val="2DA753EC"/>
    <w:rsid w:val="2DD5001A"/>
    <w:rsid w:val="2DD62C2E"/>
    <w:rsid w:val="2E10231E"/>
    <w:rsid w:val="2E417CA3"/>
    <w:rsid w:val="2E4501EC"/>
    <w:rsid w:val="2E767352"/>
    <w:rsid w:val="2E8768EC"/>
    <w:rsid w:val="2EA02EE8"/>
    <w:rsid w:val="2ECF230F"/>
    <w:rsid w:val="2EF220D0"/>
    <w:rsid w:val="2F071AA9"/>
    <w:rsid w:val="2F0F176F"/>
    <w:rsid w:val="2F1D7493"/>
    <w:rsid w:val="2F321A65"/>
    <w:rsid w:val="2FC53274"/>
    <w:rsid w:val="2FDB163C"/>
    <w:rsid w:val="2FE25206"/>
    <w:rsid w:val="2FE303AE"/>
    <w:rsid w:val="2FF662F5"/>
    <w:rsid w:val="2FF90936"/>
    <w:rsid w:val="30334ACB"/>
    <w:rsid w:val="306164E1"/>
    <w:rsid w:val="306B6A91"/>
    <w:rsid w:val="30833B13"/>
    <w:rsid w:val="309D339E"/>
    <w:rsid w:val="30AE21AF"/>
    <w:rsid w:val="30C17A75"/>
    <w:rsid w:val="30CA29AD"/>
    <w:rsid w:val="30FA20C4"/>
    <w:rsid w:val="31025BEE"/>
    <w:rsid w:val="3110771A"/>
    <w:rsid w:val="31260162"/>
    <w:rsid w:val="314375FF"/>
    <w:rsid w:val="314820DA"/>
    <w:rsid w:val="31534716"/>
    <w:rsid w:val="316A6A7E"/>
    <w:rsid w:val="31B639EF"/>
    <w:rsid w:val="31C550D4"/>
    <w:rsid w:val="31C64430"/>
    <w:rsid w:val="31DB0486"/>
    <w:rsid w:val="31DF5CA7"/>
    <w:rsid w:val="32116418"/>
    <w:rsid w:val="32164A45"/>
    <w:rsid w:val="322F2FD1"/>
    <w:rsid w:val="329D086E"/>
    <w:rsid w:val="331A6C1E"/>
    <w:rsid w:val="334641B2"/>
    <w:rsid w:val="33642B33"/>
    <w:rsid w:val="336867E5"/>
    <w:rsid w:val="33735E81"/>
    <w:rsid w:val="33842269"/>
    <w:rsid w:val="338B4FAA"/>
    <w:rsid w:val="33A131F3"/>
    <w:rsid w:val="33D9726A"/>
    <w:rsid w:val="33F31CB7"/>
    <w:rsid w:val="33F572C4"/>
    <w:rsid w:val="342F7A89"/>
    <w:rsid w:val="34633A60"/>
    <w:rsid w:val="34844EB9"/>
    <w:rsid w:val="348D60D4"/>
    <w:rsid w:val="34963F3F"/>
    <w:rsid w:val="349A5D8B"/>
    <w:rsid w:val="34B02C4E"/>
    <w:rsid w:val="34D158EA"/>
    <w:rsid w:val="34D348B8"/>
    <w:rsid w:val="34E649F1"/>
    <w:rsid w:val="34EE541B"/>
    <w:rsid w:val="353A3EF8"/>
    <w:rsid w:val="357A11D7"/>
    <w:rsid w:val="35C72486"/>
    <w:rsid w:val="364F0F9F"/>
    <w:rsid w:val="36570F1E"/>
    <w:rsid w:val="368C4D1E"/>
    <w:rsid w:val="36E320F2"/>
    <w:rsid w:val="36E95CBF"/>
    <w:rsid w:val="37172072"/>
    <w:rsid w:val="371E2C4F"/>
    <w:rsid w:val="37240659"/>
    <w:rsid w:val="374D496F"/>
    <w:rsid w:val="3768226B"/>
    <w:rsid w:val="377063EE"/>
    <w:rsid w:val="377D2DBF"/>
    <w:rsid w:val="37977C3C"/>
    <w:rsid w:val="37EA7B7C"/>
    <w:rsid w:val="37F671F9"/>
    <w:rsid w:val="37FF4F6A"/>
    <w:rsid w:val="381E78D3"/>
    <w:rsid w:val="383701B5"/>
    <w:rsid w:val="38611E86"/>
    <w:rsid w:val="388B62BD"/>
    <w:rsid w:val="38935877"/>
    <w:rsid w:val="38B8587C"/>
    <w:rsid w:val="3905700A"/>
    <w:rsid w:val="3965703B"/>
    <w:rsid w:val="39887364"/>
    <w:rsid w:val="39D00B94"/>
    <w:rsid w:val="3A0E5146"/>
    <w:rsid w:val="3A161A24"/>
    <w:rsid w:val="3A7A1F34"/>
    <w:rsid w:val="3A9248CD"/>
    <w:rsid w:val="3AC73AE7"/>
    <w:rsid w:val="3ACA35C5"/>
    <w:rsid w:val="3ADF4930"/>
    <w:rsid w:val="3B096DEB"/>
    <w:rsid w:val="3B3068D9"/>
    <w:rsid w:val="3B494880"/>
    <w:rsid w:val="3B4B75F2"/>
    <w:rsid w:val="3B6A6C7C"/>
    <w:rsid w:val="3B8523F1"/>
    <w:rsid w:val="3B903D50"/>
    <w:rsid w:val="3BD12293"/>
    <w:rsid w:val="3BEF2420"/>
    <w:rsid w:val="3C2E07BA"/>
    <w:rsid w:val="3C5067EE"/>
    <w:rsid w:val="3C9A3DEE"/>
    <w:rsid w:val="3CAD5337"/>
    <w:rsid w:val="3CB32382"/>
    <w:rsid w:val="3CDF5E57"/>
    <w:rsid w:val="3CE31410"/>
    <w:rsid w:val="3D152E3B"/>
    <w:rsid w:val="3D217FFC"/>
    <w:rsid w:val="3D5839EB"/>
    <w:rsid w:val="3D5E5D7A"/>
    <w:rsid w:val="3D615AAB"/>
    <w:rsid w:val="3DC91C62"/>
    <w:rsid w:val="3E2E206D"/>
    <w:rsid w:val="3E2E7BFD"/>
    <w:rsid w:val="3E7C5339"/>
    <w:rsid w:val="3EA741B3"/>
    <w:rsid w:val="3ED431BF"/>
    <w:rsid w:val="3F3138FC"/>
    <w:rsid w:val="3F424B14"/>
    <w:rsid w:val="3F6D6663"/>
    <w:rsid w:val="3F8D556B"/>
    <w:rsid w:val="3FAA3B64"/>
    <w:rsid w:val="3FD11EED"/>
    <w:rsid w:val="3FE936B5"/>
    <w:rsid w:val="402B37FA"/>
    <w:rsid w:val="40C549DC"/>
    <w:rsid w:val="41071826"/>
    <w:rsid w:val="41097D80"/>
    <w:rsid w:val="41466412"/>
    <w:rsid w:val="4148640D"/>
    <w:rsid w:val="41526B64"/>
    <w:rsid w:val="418B02DE"/>
    <w:rsid w:val="41A41E99"/>
    <w:rsid w:val="41B7114E"/>
    <w:rsid w:val="41EB146A"/>
    <w:rsid w:val="41F73C96"/>
    <w:rsid w:val="420E5181"/>
    <w:rsid w:val="42103651"/>
    <w:rsid w:val="42172E09"/>
    <w:rsid w:val="42260D80"/>
    <w:rsid w:val="422800C4"/>
    <w:rsid w:val="42304DCB"/>
    <w:rsid w:val="42BD0A46"/>
    <w:rsid w:val="42C512FB"/>
    <w:rsid w:val="42E756C5"/>
    <w:rsid w:val="42EC22F6"/>
    <w:rsid w:val="431C7F89"/>
    <w:rsid w:val="43324D3B"/>
    <w:rsid w:val="433A2642"/>
    <w:rsid w:val="435818D4"/>
    <w:rsid w:val="437A0AD4"/>
    <w:rsid w:val="43874121"/>
    <w:rsid w:val="43C466EB"/>
    <w:rsid w:val="446612A5"/>
    <w:rsid w:val="44A67896"/>
    <w:rsid w:val="44C71778"/>
    <w:rsid w:val="44E12F57"/>
    <w:rsid w:val="455D6D5F"/>
    <w:rsid w:val="45B71B11"/>
    <w:rsid w:val="45B95580"/>
    <w:rsid w:val="45BA10C5"/>
    <w:rsid w:val="460155D9"/>
    <w:rsid w:val="460D74FE"/>
    <w:rsid w:val="46271523"/>
    <w:rsid w:val="464C6278"/>
    <w:rsid w:val="465F4E30"/>
    <w:rsid w:val="469879CA"/>
    <w:rsid w:val="46BF1035"/>
    <w:rsid w:val="47134C60"/>
    <w:rsid w:val="47147BD5"/>
    <w:rsid w:val="4715739B"/>
    <w:rsid w:val="476620AC"/>
    <w:rsid w:val="4799013B"/>
    <w:rsid w:val="47BE4873"/>
    <w:rsid w:val="47D05D34"/>
    <w:rsid w:val="484506F7"/>
    <w:rsid w:val="487D056E"/>
    <w:rsid w:val="48A11624"/>
    <w:rsid w:val="48B50408"/>
    <w:rsid w:val="48E02C37"/>
    <w:rsid w:val="492D763A"/>
    <w:rsid w:val="496362C2"/>
    <w:rsid w:val="496F51B4"/>
    <w:rsid w:val="499C60AE"/>
    <w:rsid w:val="49CF6810"/>
    <w:rsid w:val="4A116A41"/>
    <w:rsid w:val="4A1470AD"/>
    <w:rsid w:val="4A6601A3"/>
    <w:rsid w:val="4A7F34DA"/>
    <w:rsid w:val="4A890ED6"/>
    <w:rsid w:val="4A8D3670"/>
    <w:rsid w:val="4B376839"/>
    <w:rsid w:val="4B4E0533"/>
    <w:rsid w:val="4B4E4840"/>
    <w:rsid w:val="4B4F0750"/>
    <w:rsid w:val="4B4F1990"/>
    <w:rsid w:val="4B9B1E02"/>
    <w:rsid w:val="4BE759D5"/>
    <w:rsid w:val="4BF4668B"/>
    <w:rsid w:val="4BF70A34"/>
    <w:rsid w:val="4BFF0910"/>
    <w:rsid w:val="4C1432BC"/>
    <w:rsid w:val="4C2F29BE"/>
    <w:rsid w:val="4C5A1C92"/>
    <w:rsid w:val="4C5D614A"/>
    <w:rsid w:val="4C601BB3"/>
    <w:rsid w:val="4C7B3413"/>
    <w:rsid w:val="4C9C479A"/>
    <w:rsid w:val="4CAF5B83"/>
    <w:rsid w:val="4CC6019D"/>
    <w:rsid w:val="4CCF612A"/>
    <w:rsid w:val="4D005027"/>
    <w:rsid w:val="4D1A32BA"/>
    <w:rsid w:val="4D471547"/>
    <w:rsid w:val="4D7C333E"/>
    <w:rsid w:val="4DC176EF"/>
    <w:rsid w:val="4DD06F1F"/>
    <w:rsid w:val="4DDD3C5A"/>
    <w:rsid w:val="4DE712D5"/>
    <w:rsid w:val="4E276CCD"/>
    <w:rsid w:val="4E3F7F89"/>
    <w:rsid w:val="4E802CA1"/>
    <w:rsid w:val="4E865164"/>
    <w:rsid w:val="4E8F62C2"/>
    <w:rsid w:val="4E9C4FE8"/>
    <w:rsid w:val="4EA12F2C"/>
    <w:rsid w:val="4EB92457"/>
    <w:rsid w:val="4ECD685D"/>
    <w:rsid w:val="4EE67094"/>
    <w:rsid w:val="4EEE25F0"/>
    <w:rsid w:val="4F1F4BD3"/>
    <w:rsid w:val="4F2B31C3"/>
    <w:rsid w:val="4F562CCF"/>
    <w:rsid w:val="4FB808B8"/>
    <w:rsid w:val="4FC155E1"/>
    <w:rsid w:val="4FED6C7C"/>
    <w:rsid w:val="50206901"/>
    <w:rsid w:val="50364453"/>
    <w:rsid w:val="50374AE4"/>
    <w:rsid w:val="50577CF3"/>
    <w:rsid w:val="506F73E0"/>
    <w:rsid w:val="50723FA4"/>
    <w:rsid w:val="507B1B11"/>
    <w:rsid w:val="50921E0B"/>
    <w:rsid w:val="50BD4E1F"/>
    <w:rsid w:val="51033C78"/>
    <w:rsid w:val="5139213B"/>
    <w:rsid w:val="514D42FE"/>
    <w:rsid w:val="51865FE2"/>
    <w:rsid w:val="51890F52"/>
    <w:rsid w:val="518F2482"/>
    <w:rsid w:val="51A10970"/>
    <w:rsid w:val="51B7558C"/>
    <w:rsid w:val="51CF03A0"/>
    <w:rsid w:val="51D449D7"/>
    <w:rsid w:val="51D5494E"/>
    <w:rsid w:val="51D61D88"/>
    <w:rsid w:val="51D86880"/>
    <w:rsid w:val="51ED32B0"/>
    <w:rsid w:val="51FC2A61"/>
    <w:rsid w:val="521A7E1A"/>
    <w:rsid w:val="52305A4C"/>
    <w:rsid w:val="52790720"/>
    <w:rsid w:val="529C042A"/>
    <w:rsid w:val="529C2335"/>
    <w:rsid w:val="52A20049"/>
    <w:rsid w:val="52B6147C"/>
    <w:rsid w:val="52C62F8D"/>
    <w:rsid w:val="52D73541"/>
    <w:rsid w:val="52D76772"/>
    <w:rsid w:val="52EB3111"/>
    <w:rsid w:val="5303729C"/>
    <w:rsid w:val="533B6A69"/>
    <w:rsid w:val="5366580D"/>
    <w:rsid w:val="537A24E5"/>
    <w:rsid w:val="53AF4198"/>
    <w:rsid w:val="53BE05B9"/>
    <w:rsid w:val="53C14124"/>
    <w:rsid w:val="53C723E4"/>
    <w:rsid w:val="53E23643"/>
    <w:rsid w:val="53FB2901"/>
    <w:rsid w:val="543053DD"/>
    <w:rsid w:val="544902DE"/>
    <w:rsid w:val="54AD72FB"/>
    <w:rsid w:val="54DD4AE6"/>
    <w:rsid w:val="55004AAD"/>
    <w:rsid w:val="5508477A"/>
    <w:rsid w:val="551D2513"/>
    <w:rsid w:val="55270A38"/>
    <w:rsid w:val="55271527"/>
    <w:rsid w:val="55957FC3"/>
    <w:rsid w:val="559A62AF"/>
    <w:rsid w:val="55A00F40"/>
    <w:rsid w:val="55B852EE"/>
    <w:rsid w:val="55B87486"/>
    <w:rsid w:val="55BA31FE"/>
    <w:rsid w:val="55C57DF1"/>
    <w:rsid w:val="55D77D4F"/>
    <w:rsid w:val="55ED2EE0"/>
    <w:rsid w:val="55F4547F"/>
    <w:rsid w:val="55FC3B84"/>
    <w:rsid w:val="56184813"/>
    <w:rsid w:val="562D7CD9"/>
    <w:rsid w:val="564646E7"/>
    <w:rsid w:val="564D221C"/>
    <w:rsid w:val="56C9467C"/>
    <w:rsid w:val="56F22A32"/>
    <w:rsid w:val="573C2881"/>
    <w:rsid w:val="57503EF1"/>
    <w:rsid w:val="57584FC8"/>
    <w:rsid w:val="576565CB"/>
    <w:rsid w:val="57742049"/>
    <w:rsid w:val="57833712"/>
    <w:rsid w:val="579409DA"/>
    <w:rsid w:val="57940B30"/>
    <w:rsid w:val="57B95737"/>
    <w:rsid w:val="57BA67C5"/>
    <w:rsid w:val="57D933E0"/>
    <w:rsid w:val="57E24FBA"/>
    <w:rsid w:val="57EE149B"/>
    <w:rsid w:val="5801089C"/>
    <w:rsid w:val="58124774"/>
    <w:rsid w:val="5815459A"/>
    <w:rsid w:val="58562316"/>
    <w:rsid w:val="58847AF3"/>
    <w:rsid w:val="58CE2190"/>
    <w:rsid w:val="593005BF"/>
    <w:rsid w:val="596925A5"/>
    <w:rsid w:val="596F5057"/>
    <w:rsid w:val="59BE70D6"/>
    <w:rsid w:val="5A01354B"/>
    <w:rsid w:val="5A0518B3"/>
    <w:rsid w:val="5A4A649B"/>
    <w:rsid w:val="5A4C128D"/>
    <w:rsid w:val="5A4C7CA2"/>
    <w:rsid w:val="5AC55625"/>
    <w:rsid w:val="5AD81E24"/>
    <w:rsid w:val="5B2836D5"/>
    <w:rsid w:val="5B661732"/>
    <w:rsid w:val="5B793214"/>
    <w:rsid w:val="5B80368C"/>
    <w:rsid w:val="5B9E068A"/>
    <w:rsid w:val="5BDB6A8B"/>
    <w:rsid w:val="5BE76B6F"/>
    <w:rsid w:val="5BF6341D"/>
    <w:rsid w:val="5BFA436F"/>
    <w:rsid w:val="5C2F421A"/>
    <w:rsid w:val="5C5D2B35"/>
    <w:rsid w:val="5C785A4A"/>
    <w:rsid w:val="5C8A4BAE"/>
    <w:rsid w:val="5CD071EB"/>
    <w:rsid w:val="5CD85AE1"/>
    <w:rsid w:val="5CE7440B"/>
    <w:rsid w:val="5CFB5EAA"/>
    <w:rsid w:val="5D03534B"/>
    <w:rsid w:val="5D375134"/>
    <w:rsid w:val="5D705BAB"/>
    <w:rsid w:val="5D734AE1"/>
    <w:rsid w:val="5DA452E5"/>
    <w:rsid w:val="5E3C5005"/>
    <w:rsid w:val="5E7A731E"/>
    <w:rsid w:val="5E7E23E5"/>
    <w:rsid w:val="5E9E2D4D"/>
    <w:rsid w:val="5EAF00A9"/>
    <w:rsid w:val="5EF46E1E"/>
    <w:rsid w:val="5F2A4E35"/>
    <w:rsid w:val="5F484AAD"/>
    <w:rsid w:val="5F704A26"/>
    <w:rsid w:val="5FAB66BA"/>
    <w:rsid w:val="5FCC6526"/>
    <w:rsid w:val="601E5502"/>
    <w:rsid w:val="60390672"/>
    <w:rsid w:val="607272CC"/>
    <w:rsid w:val="607B5964"/>
    <w:rsid w:val="60872213"/>
    <w:rsid w:val="609943F6"/>
    <w:rsid w:val="60BA1016"/>
    <w:rsid w:val="61476329"/>
    <w:rsid w:val="614F51FB"/>
    <w:rsid w:val="61533593"/>
    <w:rsid w:val="615A3AE7"/>
    <w:rsid w:val="618302A0"/>
    <w:rsid w:val="6191069B"/>
    <w:rsid w:val="61AA2B5C"/>
    <w:rsid w:val="61CB1B37"/>
    <w:rsid w:val="61D116DC"/>
    <w:rsid w:val="61D24292"/>
    <w:rsid w:val="62056794"/>
    <w:rsid w:val="625F5B3B"/>
    <w:rsid w:val="62A0441B"/>
    <w:rsid w:val="62A82919"/>
    <w:rsid w:val="62E07A8F"/>
    <w:rsid w:val="633C5103"/>
    <w:rsid w:val="63447D3F"/>
    <w:rsid w:val="63487979"/>
    <w:rsid w:val="6355498B"/>
    <w:rsid w:val="63567371"/>
    <w:rsid w:val="635F6634"/>
    <w:rsid w:val="64254D6C"/>
    <w:rsid w:val="643B7C2E"/>
    <w:rsid w:val="6449573F"/>
    <w:rsid w:val="648C61C9"/>
    <w:rsid w:val="649066CE"/>
    <w:rsid w:val="64A0522C"/>
    <w:rsid w:val="64B40718"/>
    <w:rsid w:val="64BE623C"/>
    <w:rsid w:val="64E57F6D"/>
    <w:rsid w:val="658A1D19"/>
    <w:rsid w:val="658B25A8"/>
    <w:rsid w:val="659F57DB"/>
    <w:rsid w:val="65B3194D"/>
    <w:rsid w:val="65CE74AD"/>
    <w:rsid w:val="65EB394E"/>
    <w:rsid w:val="65EC7449"/>
    <w:rsid w:val="661A19B5"/>
    <w:rsid w:val="661C5D4D"/>
    <w:rsid w:val="66240220"/>
    <w:rsid w:val="665D4CD0"/>
    <w:rsid w:val="66660838"/>
    <w:rsid w:val="66866023"/>
    <w:rsid w:val="66B9456E"/>
    <w:rsid w:val="66C207B0"/>
    <w:rsid w:val="66C87F07"/>
    <w:rsid w:val="66D34947"/>
    <w:rsid w:val="670519A4"/>
    <w:rsid w:val="674A6CC4"/>
    <w:rsid w:val="675F4E6C"/>
    <w:rsid w:val="676346CC"/>
    <w:rsid w:val="67D432D5"/>
    <w:rsid w:val="68174103"/>
    <w:rsid w:val="684A3248"/>
    <w:rsid w:val="688E6065"/>
    <w:rsid w:val="68900C2C"/>
    <w:rsid w:val="68990544"/>
    <w:rsid w:val="689F4FDB"/>
    <w:rsid w:val="695157D0"/>
    <w:rsid w:val="698E5C96"/>
    <w:rsid w:val="699B6A4B"/>
    <w:rsid w:val="69A31628"/>
    <w:rsid w:val="69E47297"/>
    <w:rsid w:val="69E93C5A"/>
    <w:rsid w:val="69EB5C3D"/>
    <w:rsid w:val="6A056C5C"/>
    <w:rsid w:val="6A0E449D"/>
    <w:rsid w:val="6A394B10"/>
    <w:rsid w:val="6A3D3930"/>
    <w:rsid w:val="6A483C28"/>
    <w:rsid w:val="6A5D1F52"/>
    <w:rsid w:val="6AB9032C"/>
    <w:rsid w:val="6AD62431"/>
    <w:rsid w:val="6AD9189E"/>
    <w:rsid w:val="6B2E3D42"/>
    <w:rsid w:val="6B3247F9"/>
    <w:rsid w:val="6B4E74C4"/>
    <w:rsid w:val="6B692BDE"/>
    <w:rsid w:val="6B7C5673"/>
    <w:rsid w:val="6BC608D8"/>
    <w:rsid w:val="6BD546E2"/>
    <w:rsid w:val="6BDA6C7A"/>
    <w:rsid w:val="6C0C0BE2"/>
    <w:rsid w:val="6C1873D9"/>
    <w:rsid w:val="6C432EAB"/>
    <w:rsid w:val="6C5539AC"/>
    <w:rsid w:val="6CA90B9D"/>
    <w:rsid w:val="6CCF7B5A"/>
    <w:rsid w:val="6CE81115"/>
    <w:rsid w:val="6D6579D8"/>
    <w:rsid w:val="6D700BD1"/>
    <w:rsid w:val="6D7F230E"/>
    <w:rsid w:val="6D8C7324"/>
    <w:rsid w:val="6DFA4963"/>
    <w:rsid w:val="6E376A09"/>
    <w:rsid w:val="6E4C7344"/>
    <w:rsid w:val="6E5F3F4B"/>
    <w:rsid w:val="6E802B8A"/>
    <w:rsid w:val="6EBF2834"/>
    <w:rsid w:val="6ECA1524"/>
    <w:rsid w:val="6EE14F8A"/>
    <w:rsid w:val="6EED1AF7"/>
    <w:rsid w:val="6EFF182A"/>
    <w:rsid w:val="6F284536"/>
    <w:rsid w:val="6F397C4F"/>
    <w:rsid w:val="6F5F7E81"/>
    <w:rsid w:val="6F61645F"/>
    <w:rsid w:val="6F733592"/>
    <w:rsid w:val="6F7D1C3F"/>
    <w:rsid w:val="6F9B29AB"/>
    <w:rsid w:val="6FCF7FAB"/>
    <w:rsid w:val="6FD50999"/>
    <w:rsid w:val="6FD6520B"/>
    <w:rsid w:val="6FE7655A"/>
    <w:rsid w:val="70160934"/>
    <w:rsid w:val="70415CA3"/>
    <w:rsid w:val="706F71EC"/>
    <w:rsid w:val="70715D1C"/>
    <w:rsid w:val="70A3624A"/>
    <w:rsid w:val="70A6040A"/>
    <w:rsid w:val="70A73F27"/>
    <w:rsid w:val="70B772CD"/>
    <w:rsid w:val="70BE7AA5"/>
    <w:rsid w:val="70E04E91"/>
    <w:rsid w:val="715845FE"/>
    <w:rsid w:val="719839C7"/>
    <w:rsid w:val="71AB7A47"/>
    <w:rsid w:val="72242951"/>
    <w:rsid w:val="722A4382"/>
    <w:rsid w:val="723260D7"/>
    <w:rsid w:val="7241581D"/>
    <w:rsid w:val="72866E0A"/>
    <w:rsid w:val="72A66B9A"/>
    <w:rsid w:val="72B7679A"/>
    <w:rsid w:val="72EB65E8"/>
    <w:rsid w:val="72F07381"/>
    <w:rsid w:val="730D7924"/>
    <w:rsid w:val="73217FC1"/>
    <w:rsid w:val="736B27D3"/>
    <w:rsid w:val="73705753"/>
    <w:rsid w:val="73974144"/>
    <w:rsid w:val="73D17591"/>
    <w:rsid w:val="73D73C05"/>
    <w:rsid w:val="73F25E01"/>
    <w:rsid w:val="73FE0302"/>
    <w:rsid w:val="74081C27"/>
    <w:rsid w:val="740C1331"/>
    <w:rsid w:val="74220E03"/>
    <w:rsid w:val="742835D1"/>
    <w:rsid w:val="744C7CFC"/>
    <w:rsid w:val="7460646C"/>
    <w:rsid w:val="74930E8A"/>
    <w:rsid w:val="74B16EFA"/>
    <w:rsid w:val="74D26BC9"/>
    <w:rsid w:val="74FA2B93"/>
    <w:rsid w:val="75013D26"/>
    <w:rsid w:val="7513293E"/>
    <w:rsid w:val="751C4A37"/>
    <w:rsid w:val="75671ED7"/>
    <w:rsid w:val="758E216D"/>
    <w:rsid w:val="75D031CF"/>
    <w:rsid w:val="75E50038"/>
    <w:rsid w:val="75F85C3A"/>
    <w:rsid w:val="76086AF3"/>
    <w:rsid w:val="760C32A3"/>
    <w:rsid w:val="761E665C"/>
    <w:rsid w:val="76481B4F"/>
    <w:rsid w:val="764C351C"/>
    <w:rsid w:val="76641728"/>
    <w:rsid w:val="767B6391"/>
    <w:rsid w:val="768C47F8"/>
    <w:rsid w:val="76B002EC"/>
    <w:rsid w:val="77097262"/>
    <w:rsid w:val="772A6B84"/>
    <w:rsid w:val="774E7257"/>
    <w:rsid w:val="77966D42"/>
    <w:rsid w:val="77C22C5C"/>
    <w:rsid w:val="77CB0E43"/>
    <w:rsid w:val="77D575CC"/>
    <w:rsid w:val="780659D7"/>
    <w:rsid w:val="780E7E5F"/>
    <w:rsid w:val="7814493D"/>
    <w:rsid w:val="783828A6"/>
    <w:rsid w:val="7871156E"/>
    <w:rsid w:val="78D20837"/>
    <w:rsid w:val="78D37FAF"/>
    <w:rsid w:val="78D60657"/>
    <w:rsid w:val="78D766EA"/>
    <w:rsid w:val="78EF00C7"/>
    <w:rsid w:val="7909677D"/>
    <w:rsid w:val="790C75C1"/>
    <w:rsid w:val="79131EC6"/>
    <w:rsid w:val="79165DDC"/>
    <w:rsid w:val="79186D67"/>
    <w:rsid w:val="793223B0"/>
    <w:rsid w:val="793E60EE"/>
    <w:rsid w:val="79756B26"/>
    <w:rsid w:val="79824362"/>
    <w:rsid w:val="79917A0D"/>
    <w:rsid w:val="79B71A16"/>
    <w:rsid w:val="7A0B2382"/>
    <w:rsid w:val="7A9C7DD7"/>
    <w:rsid w:val="7AA078CD"/>
    <w:rsid w:val="7ACE1446"/>
    <w:rsid w:val="7AD005EF"/>
    <w:rsid w:val="7ADD7A7C"/>
    <w:rsid w:val="7AF1471D"/>
    <w:rsid w:val="7AF36362"/>
    <w:rsid w:val="7B901196"/>
    <w:rsid w:val="7B9D57DF"/>
    <w:rsid w:val="7BF12F29"/>
    <w:rsid w:val="7BF411CF"/>
    <w:rsid w:val="7C0250F8"/>
    <w:rsid w:val="7C3C1DBF"/>
    <w:rsid w:val="7C684EAD"/>
    <w:rsid w:val="7C6F6210"/>
    <w:rsid w:val="7C75312C"/>
    <w:rsid w:val="7C7C5D27"/>
    <w:rsid w:val="7C967BB3"/>
    <w:rsid w:val="7C9C1F1E"/>
    <w:rsid w:val="7CCE096B"/>
    <w:rsid w:val="7CD37E68"/>
    <w:rsid w:val="7D0006C9"/>
    <w:rsid w:val="7D224368"/>
    <w:rsid w:val="7D44147C"/>
    <w:rsid w:val="7D5F006C"/>
    <w:rsid w:val="7D6F6242"/>
    <w:rsid w:val="7D7346BB"/>
    <w:rsid w:val="7DB83C60"/>
    <w:rsid w:val="7DB9671E"/>
    <w:rsid w:val="7DDD3193"/>
    <w:rsid w:val="7DDF6BD3"/>
    <w:rsid w:val="7E1D3A7B"/>
    <w:rsid w:val="7E33504C"/>
    <w:rsid w:val="7E3660BC"/>
    <w:rsid w:val="7E44104E"/>
    <w:rsid w:val="7E464086"/>
    <w:rsid w:val="7E4F4CC7"/>
    <w:rsid w:val="7E535169"/>
    <w:rsid w:val="7E83045A"/>
    <w:rsid w:val="7EC109B8"/>
    <w:rsid w:val="7EE21CD9"/>
    <w:rsid w:val="7F2C6B94"/>
    <w:rsid w:val="7F4306B9"/>
    <w:rsid w:val="7F8B597C"/>
    <w:rsid w:val="7FC628BB"/>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9"/>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4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9"/>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3"/>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5"/>
    <w:semiHidden/>
    <w:unhideWhenUsed/>
    <w:qFormat/>
    <w:uiPriority w:val="9"/>
    <w:pPr>
      <w:keepNext/>
      <w:keepLines/>
      <w:spacing w:before="240" w:after="64" w:line="320" w:lineRule="auto"/>
      <w:outlineLvl w:val="6"/>
    </w:pPr>
    <w:rPr>
      <w:b/>
      <w:bCs/>
      <w:sz w:val="24"/>
      <w:szCs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link w:val="62"/>
    <w:qFormat/>
    <w:uiPriority w:val="0"/>
    <w:pPr>
      <w:jc w:val="left"/>
    </w:pPr>
  </w:style>
  <w:style w:type="paragraph" w:styleId="12">
    <w:name w:val="Body Text Indent"/>
    <w:basedOn w:val="1"/>
    <w:link w:val="42"/>
    <w:qFormat/>
    <w:uiPriority w:val="0"/>
    <w:pPr>
      <w:spacing w:line="200" w:lineRule="atLeast"/>
      <w:ind w:firstLine="301"/>
    </w:pPr>
    <w:rPr>
      <w:rFonts w:ascii="宋体" w:hAnsi="Courier New" w:cstheme="minorBidi"/>
      <w:spacing w:val="-4"/>
      <w:sz w:val="18"/>
      <w:szCs w:val="22"/>
    </w:rPr>
  </w:style>
  <w:style w:type="paragraph" w:styleId="13">
    <w:name w:val="Block Text"/>
    <w:basedOn w:val="1"/>
    <w:qFormat/>
    <w:uiPriority w:val="0"/>
    <w:pPr>
      <w:spacing w:line="360" w:lineRule="auto"/>
      <w:ind w:left="630" w:right="-609" w:firstLine="420"/>
    </w:pPr>
    <w:rPr>
      <w:rFonts w:ascii="仿宋_GB2312" w:eastAsia="仿宋_GB2312"/>
    </w:rPr>
  </w:style>
  <w:style w:type="paragraph" w:styleId="14">
    <w:name w:val="Plain Text"/>
    <w:basedOn w:val="1"/>
    <w:link w:val="47"/>
    <w:qFormat/>
    <w:uiPriority w:val="0"/>
    <w:pPr>
      <w:spacing w:beforeLines="50" w:afterLines="50" w:line="400" w:lineRule="atLeast"/>
    </w:pPr>
    <w:rPr>
      <w:rFonts w:ascii="宋体" w:hAnsi="Courier New" w:cstheme="minorBidi"/>
      <w:sz w:val="24"/>
      <w:szCs w:val="22"/>
    </w:rPr>
  </w:style>
  <w:style w:type="paragraph" w:styleId="15">
    <w:name w:val="Date"/>
    <w:basedOn w:val="1"/>
    <w:next w:val="1"/>
    <w:link w:val="31"/>
    <w:unhideWhenUsed/>
    <w:qFormat/>
    <w:uiPriority w:val="0"/>
    <w:pPr>
      <w:ind w:left="100" w:leftChars="2500"/>
    </w:pPr>
  </w:style>
  <w:style w:type="paragraph" w:styleId="16">
    <w:name w:val="Balloon Text"/>
    <w:basedOn w:val="1"/>
    <w:link w:val="58"/>
    <w:semiHidden/>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sz w:val="18"/>
      <w:szCs w:val="18"/>
    </w:rPr>
  </w:style>
  <w:style w:type="paragraph" w:styleId="18">
    <w:name w:val="header"/>
    <w:basedOn w:val="1"/>
    <w:link w:val="5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0">
    <w:name w:val="toc 2"/>
    <w:basedOn w:val="1"/>
    <w:next w:val="1"/>
    <w:unhideWhenUsed/>
    <w:qFormat/>
    <w:uiPriority w:val="39"/>
    <w:pPr>
      <w:ind w:left="420" w:leftChars="200"/>
    </w:pPr>
  </w:style>
  <w:style w:type="paragraph" w:styleId="21">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2">
    <w:name w:val="Title"/>
    <w:basedOn w:val="1"/>
    <w:next w:val="1"/>
    <w:link w:val="40"/>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1"/>
    <w:next w:val="11"/>
    <w:link w:val="66"/>
    <w:semiHidden/>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basedOn w:val="26"/>
    <w:semiHidden/>
    <w:unhideWhenUsed/>
    <w:qFormat/>
    <w:uiPriority w:val="99"/>
    <w:rPr>
      <w:sz w:val="21"/>
      <w:szCs w:val="21"/>
    </w:rPr>
  </w:style>
  <w:style w:type="character" w:customStyle="1" w:styleId="31">
    <w:name w:val="日期 Char"/>
    <w:basedOn w:val="26"/>
    <w:link w:val="15"/>
    <w:qFormat/>
    <w:uiPriority w:val="0"/>
    <w:rPr>
      <w:rFonts w:ascii="Times New Roman" w:hAnsi="Times New Roman" w:eastAsia="宋体" w:cs="Times New Roman"/>
      <w:sz w:val="28"/>
      <w:szCs w:val="20"/>
    </w:rPr>
  </w:style>
  <w:style w:type="paragraph" w:styleId="32">
    <w:name w:val="List Paragraph"/>
    <w:basedOn w:val="1"/>
    <w:link w:val="45"/>
    <w:qFormat/>
    <w:uiPriority w:val="99"/>
    <w:pPr>
      <w:ind w:firstLine="420" w:firstLineChars="200"/>
    </w:pPr>
  </w:style>
  <w:style w:type="paragraph" w:customStyle="1" w:styleId="33">
    <w:name w:val="正文 第一章"/>
    <w:basedOn w:val="1"/>
    <w:next w:val="34"/>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4">
    <w:name w:val="正文 1.1"/>
    <w:basedOn w:val="1"/>
    <w:next w:val="35"/>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5">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6">
    <w:name w:val="第四级"/>
    <w:basedOn w:val="1"/>
    <w:next w:val="37"/>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7">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8">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9">
    <w:name w:val="标题 1 Char"/>
    <w:basedOn w:val="26"/>
    <w:link w:val="3"/>
    <w:qFormat/>
    <w:uiPriority w:val="0"/>
    <w:rPr>
      <w:rFonts w:ascii="宋体" w:hAnsi="Arial" w:eastAsia="黑体" w:cs="Times New Roman"/>
      <w:b/>
      <w:bCs/>
      <w:color w:val="000000"/>
      <w:kern w:val="44"/>
      <w:sz w:val="36"/>
      <w:szCs w:val="32"/>
    </w:rPr>
  </w:style>
  <w:style w:type="character" w:customStyle="1" w:styleId="40">
    <w:name w:val="标题 Char"/>
    <w:basedOn w:val="26"/>
    <w:link w:val="22"/>
    <w:qFormat/>
    <w:uiPriority w:val="10"/>
    <w:rPr>
      <w:rFonts w:eastAsia="宋体" w:asciiTheme="majorHAnsi" w:hAnsiTheme="majorHAnsi" w:cstheme="majorBidi"/>
      <w:b/>
      <w:bCs/>
      <w:sz w:val="32"/>
      <w:szCs w:val="32"/>
    </w:rPr>
  </w:style>
  <w:style w:type="character" w:customStyle="1" w:styleId="41">
    <w:name w:val="标题 2 Char"/>
    <w:basedOn w:val="26"/>
    <w:link w:val="4"/>
    <w:semiHidden/>
    <w:qFormat/>
    <w:uiPriority w:val="9"/>
    <w:rPr>
      <w:rFonts w:asciiTheme="majorHAnsi" w:hAnsiTheme="majorHAnsi" w:eastAsiaTheme="majorEastAsia" w:cstheme="majorBidi"/>
      <w:b/>
      <w:bCs/>
      <w:sz w:val="32"/>
      <w:szCs w:val="32"/>
    </w:rPr>
  </w:style>
  <w:style w:type="character" w:customStyle="1" w:styleId="42">
    <w:name w:val="正文文本缩进 Char"/>
    <w:link w:val="12"/>
    <w:qFormat/>
    <w:locked/>
    <w:uiPriority w:val="0"/>
    <w:rPr>
      <w:rFonts w:ascii="宋体" w:hAnsi="Courier New" w:eastAsia="宋体"/>
      <w:spacing w:val="-4"/>
      <w:sz w:val="18"/>
    </w:rPr>
  </w:style>
  <w:style w:type="character" w:customStyle="1" w:styleId="43">
    <w:name w:val="正文文本缩进 Char1"/>
    <w:basedOn w:val="26"/>
    <w:qFormat/>
    <w:uiPriority w:val="99"/>
    <w:rPr>
      <w:rFonts w:ascii="Times New Roman" w:hAnsi="Times New Roman" w:eastAsia="宋体" w:cs="Times New Roman"/>
      <w:sz w:val="28"/>
      <w:szCs w:val="20"/>
    </w:rPr>
  </w:style>
  <w:style w:type="character" w:customStyle="1" w:styleId="44">
    <w:name w:val="标题 3 Char"/>
    <w:qFormat/>
    <w:uiPriority w:val="0"/>
    <w:rPr>
      <w:rFonts w:eastAsia="宋体"/>
      <w:b/>
      <w:bCs/>
      <w:kern w:val="2"/>
      <w:sz w:val="32"/>
      <w:szCs w:val="32"/>
      <w:lang w:val="en-US" w:eastAsia="zh-CN" w:bidi="ar-SA"/>
    </w:rPr>
  </w:style>
  <w:style w:type="character" w:customStyle="1" w:styleId="45">
    <w:name w:val="列出段落 Char"/>
    <w:link w:val="32"/>
    <w:qFormat/>
    <w:locked/>
    <w:uiPriority w:val="0"/>
    <w:rPr>
      <w:rFonts w:ascii="Times New Roman" w:hAnsi="Times New Roman" w:eastAsia="宋体" w:cs="Times New Roman"/>
      <w:sz w:val="28"/>
      <w:szCs w:val="20"/>
    </w:rPr>
  </w:style>
  <w:style w:type="character" w:customStyle="1" w:styleId="46">
    <w:name w:val="正文 第五章 中间"/>
    <w:qFormat/>
    <w:uiPriority w:val="0"/>
    <w:rPr>
      <w:b/>
      <w:bCs/>
      <w:color w:val="000000"/>
      <w:sz w:val="32"/>
    </w:rPr>
  </w:style>
  <w:style w:type="character" w:customStyle="1" w:styleId="47">
    <w:name w:val="纯文本 Char1"/>
    <w:link w:val="14"/>
    <w:qFormat/>
    <w:uiPriority w:val="0"/>
    <w:rPr>
      <w:rFonts w:ascii="宋体" w:hAnsi="Courier New" w:eastAsia="宋体"/>
      <w:sz w:val="24"/>
    </w:rPr>
  </w:style>
  <w:style w:type="character" w:customStyle="1" w:styleId="48">
    <w:name w:val="纯文本 Char"/>
    <w:basedOn w:val="26"/>
    <w:semiHidden/>
    <w:qFormat/>
    <w:uiPriority w:val="99"/>
    <w:rPr>
      <w:rFonts w:ascii="宋体" w:hAnsi="Courier New" w:eastAsia="宋体" w:cs="Courier New"/>
      <w:szCs w:val="21"/>
    </w:rPr>
  </w:style>
  <w:style w:type="character" w:customStyle="1" w:styleId="49">
    <w:name w:val="标题 3 Char1"/>
    <w:basedOn w:val="26"/>
    <w:link w:val="5"/>
    <w:semiHidden/>
    <w:qFormat/>
    <w:uiPriority w:val="9"/>
    <w:rPr>
      <w:rFonts w:ascii="Times New Roman" w:hAnsi="Times New Roman" w:eastAsia="宋体" w:cs="Times New Roman"/>
      <w:b/>
      <w:bCs/>
      <w:sz w:val="32"/>
      <w:szCs w:val="32"/>
    </w:rPr>
  </w:style>
  <w:style w:type="character" w:customStyle="1" w:styleId="50">
    <w:name w:val="页眉 Char"/>
    <w:basedOn w:val="26"/>
    <w:link w:val="18"/>
    <w:semiHidden/>
    <w:qFormat/>
    <w:uiPriority w:val="99"/>
    <w:rPr>
      <w:rFonts w:ascii="Times New Roman" w:hAnsi="Times New Roman" w:eastAsia="宋体" w:cs="Times New Roman"/>
      <w:sz w:val="18"/>
      <w:szCs w:val="18"/>
    </w:rPr>
  </w:style>
  <w:style w:type="character" w:customStyle="1" w:styleId="51">
    <w:name w:val="页脚 Char"/>
    <w:basedOn w:val="26"/>
    <w:link w:val="17"/>
    <w:qFormat/>
    <w:uiPriority w:val="99"/>
    <w:rPr>
      <w:rFonts w:ascii="Times New Roman" w:hAnsi="Times New Roman" w:eastAsia="宋体" w:cs="Times New Roman"/>
      <w:sz w:val="18"/>
      <w:szCs w:val="18"/>
    </w:rPr>
  </w:style>
  <w:style w:type="character" w:customStyle="1" w:styleId="52">
    <w:name w:val="标题 4 Char"/>
    <w:basedOn w:val="26"/>
    <w:link w:val="6"/>
    <w:semiHidden/>
    <w:qFormat/>
    <w:uiPriority w:val="9"/>
    <w:rPr>
      <w:rFonts w:asciiTheme="majorHAnsi" w:hAnsiTheme="majorHAnsi" w:eastAsiaTheme="majorEastAsia" w:cstheme="majorBidi"/>
      <w:b/>
      <w:bCs/>
      <w:sz w:val="28"/>
      <w:szCs w:val="28"/>
    </w:rPr>
  </w:style>
  <w:style w:type="character" w:customStyle="1" w:styleId="53">
    <w:name w:val="标题 5 Char"/>
    <w:basedOn w:val="26"/>
    <w:link w:val="7"/>
    <w:semiHidden/>
    <w:qFormat/>
    <w:uiPriority w:val="9"/>
    <w:rPr>
      <w:rFonts w:ascii="Times New Roman" w:hAnsi="Times New Roman" w:eastAsia="宋体" w:cs="Times New Roman"/>
      <w:b/>
      <w:bCs/>
      <w:sz w:val="28"/>
      <w:szCs w:val="28"/>
    </w:rPr>
  </w:style>
  <w:style w:type="character" w:customStyle="1" w:styleId="54">
    <w:name w:val="标题 6 Char"/>
    <w:basedOn w:val="26"/>
    <w:link w:val="8"/>
    <w:semiHidden/>
    <w:qFormat/>
    <w:uiPriority w:val="9"/>
    <w:rPr>
      <w:rFonts w:asciiTheme="majorHAnsi" w:hAnsiTheme="majorHAnsi" w:eastAsiaTheme="majorEastAsia" w:cstheme="majorBidi"/>
      <w:b/>
      <w:bCs/>
      <w:sz w:val="24"/>
      <w:szCs w:val="24"/>
    </w:rPr>
  </w:style>
  <w:style w:type="character" w:customStyle="1" w:styleId="55">
    <w:name w:val="标题 7 Char"/>
    <w:basedOn w:val="26"/>
    <w:link w:val="9"/>
    <w:semiHidden/>
    <w:qFormat/>
    <w:uiPriority w:val="9"/>
    <w:rPr>
      <w:rFonts w:ascii="Times New Roman" w:hAnsi="Times New Roman" w:eastAsia="宋体" w:cs="Times New Roman"/>
      <w:b/>
      <w:bCs/>
      <w:sz w:val="24"/>
      <w:szCs w:val="24"/>
    </w:rPr>
  </w:style>
  <w:style w:type="paragraph" w:customStyle="1" w:styleId="5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7">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8">
    <w:name w:val="批注框文本 Char"/>
    <w:basedOn w:val="26"/>
    <w:link w:val="16"/>
    <w:semiHidden/>
    <w:qFormat/>
    <w:uiPriority w:val="99"/>
    <w:rPr>
      <w:rFonts w:ascii="Times New Roman" w:hAnsi="Times New Roman" w:eastAsia="宋体" w:cs="Times New Roman"/>
      <w:sz w:val="18"/>
      <w:szCs w:val="18"/>
    </w:rPr>
  </w:style>
  <w:style w:type="paragraph" w:customStyle="1" w:styleId="59">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60">
    <w:name w:val="样式1"/>
    <w:basedOn w:val="1"/>
    <w:qFormat/>
    <w:uiPriority w:val="0"/>
    <w:pPr>
      <w:numPr>
        <w:ilvl w:val="0"/>
        <w:numId w:val="2"/>
      </w:numPr>
      <w:adjustRightInd w:val="0"/>
      <w:textAlignment w:val="baseline"/>
    </w:pPr>
    <w:rPr>
      <w:rFonts w:ascii="宋体" w:hAnsi="宋体"/>
      <w:kern w:val="0"/>
      <w:sz w:val="21"/>
    </w:rPr>
  </w:style>
  <w:style w:type="paragraph" w:customStyle="1" w:styleId="61">
    <w:name w:val="Char Char Char Char Char Char Char1 Char"/>
    <w:basedOn w:val="1"/>
    <w:qFormat/>
    <w:uiPriority w:val="0"/>
    <w:rPr>
      <w:rFonts w:ascii="Tahoma" w:hAnsi="Tahoma"/>
      <w:sz w:val="24"/>
    </w:rPr>
  </w:style>
  <w:style w:type="character" w:customStyle="1" w:styleId="62">
    <w:name w:val="批注文字 Char"/>
    <w:basedOn w:val="26"/>
    <w:link w:val="11"/>
    <w:qFormat/>
    <w:uiPriority w:val="0"/>
    <w:rPr>
      <w:rFonts w:ascii="Times New Roman" w:hAnsi="Times New Roman" w:eastAsia="宋体" w:cs="Times New Roman"/>
      <w:sz w:val="28"/>
      <w:szCs w:val="20"/>
    </w:rPr>
  </w:style>
  <w:style w:type="character" w:customStyle="1" w:styleId="63">
    <w:name w:val="font51"/>
    <w:qFormat/>
    <w:uiPriority w:val="0"/>
    <w:rPr>
      <w:rFonts w:hint="eastAsia" w:ascii="宋体" w:hAnsi="宋体" w:eastAsia="宋体" w:cs="宋体"/>
      <w:color w:val="000000"/>
      <w:sz w:val="24"/>
      <w:szCs w:val="24"/>
      <w:u w:val="none"/>
    </w:rPr>
  </w:style>
  <w:style w:type="paragraph" w:customStyle="1" w:styleId="64">
    <w:name w:val="_Style 13"/>
    <w:basedOn w:val="1"/>
    <w:next w:val="32"/>
    <w:qFormat/>
    <w:uiPriority w:val="0"/>
    <w:pPr>
      <w:ind w:firstLine="420" w:firstLineChars="200"/>
    </w:pPr>
    <w:rPr>
      <w:rFonts w:ascii="Calibri" w:hAnsi="Calibri"/>
      <w:kern w:val="0"/>
      <w:sz w:val="20"/>
      <w:lang w:val="zh-CN"/>
    </w:rPr>
  </w:style>
  <w:style w:type="paragraph" w:customStyle="1" w:styleId="65">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6">
    <w:name w:val="批注主题 Char"/>
    <w:basedOn w:val="62"/>
    <w:link w:val="23"/>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52</Pages>
  <Words>18698</Words>
  <Characters>19302</Characters>
  <Lines>159</Lines>
  <Paragraphs>45</Paragraphs>
  <TotalTime>8</TotalTime>
  <ScaleCrop>false</ScaleCrop>
  <LinksUpToDate>false</LinksUpToDate>
  <CharactersWithSpaces>22603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2022-08-29T08:39:17Z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4C26227BCB294D39AA2781FF4FE8B61D</vt:lpwstr>
  </property>
</Properties>
</file>